
<file path=[Content_Types].xml><?xml version="1.0" encoding="utf-8"?>
<Types xmlns="http://schemas.openxmlformats.org/package/2006/content-types">
  <Default Extension="emf" ContentType="image/x-emf"/>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0B8CF" w14:textId="49F01CC4" w:rsidR="00E4479F" w:rsidRDefault="00E4479F" w:rsidP="00E4479F">
      <w:pPr>
        <w:tabs>
          <w:tab w:val="left" w:pos="3686"/>
        </w:tabs>
        <w:rPr>
          <w:rFonts w:cs="Times New Roman (Corps CS)"/>
          <w:b/>
          <w:bCs/>
          <w:caps/>
          <w:color w:val="2F5496" w:themeColor="accent1" w:themeShade="BF"/>
        </w:rPr>
      </w:pPr>
      <w:bookmarkStart w:id="0" w:name="OLE_LINK1"/>
      <w:bookmarkStart w:id="1" w:name="OLE_LINK2"/>
      <w:r>
        <w:rPr>
          <w:rFonts w:cs="Times New Roman (Corps CS)"/>
          <w:b/>
          <w:bCs/>
          <w:caps/>
          <w:color w:val="2F5496" w:themeColor="accent1" w:themeShade="BF"/>
        </w:rPr>
        <w:tab/>
      </w:r>
      <w:r w:rsidRPr="00E4479F">
        <w:rPr>
          <w:rFonts w:cs="Times New Roman (Corps CS)"/>
          <w:b/>
          <w:bCs/>
          <w:caps/>
          <w:color w:val="2F5496" w:themeColor="accent1" w:themeShade="BF"/>
        </w:rPr>
        <w:t>Présentation des comptes 2023</w:t>
      </w:r>
    </w:p>
    <w:p w14:paraId="693AE9C6" w14:textId="77777777" w:rsidR="00E4479F" w:rsidRDefault="00E4479F" w:rsidP="00E4479F">
      <w:pPr>
        <w:tabs>
          <w:tab w:val="left" w:pos="3686"/>
        </w:tabs>
        <w:rPr>
          <w:rFonts w:cs="Times New Roman (Corps CS)"/>
          <w:b/>
          <w:bCs/>
          <w:caps/>
          <w:color w:val="2F5496" w:themeColor="accent1" w:themeShade="BF"/>
        </w:rPr>
      </w:pPr>
    </w:p>
    <w:p w14:paraId="3E24D34A" w14:textId="77777777" w:rsidR="00E4479F" w:rsidRPr="00E4479F" w:rsidRDefault="00E4479F" w:rsidP="00E4479F">
      <w:pPr>
        <w:tabs>
          <w:tab w:val="left" w:pos="3686"/>
        </w:tabs>
        <w:rPr>
          <w:rFonts w:cs="Times New Roman (Corps CS)"/>
          <w:b/>
          <w:bCs/>
          <w:caps/>
          <w:color w:val="2F5496" w:themeColor="accent1" w:themeShade="BF"/>
        </w:rPr>
      </w:pPr>
    </w:p>
    <w:p w14:paraId="624D3F14" w14:textId="77777777" w:rsidR="00E4479F" w:rsidRDefault="00E4479F"/>
    <w:p w14:paraId="63883CB1" w14:textId="3A8A2F81" w:rsidR="00FB36FA" w:rsidRDefault="00FB36FA">
      <w:r w:rsidRPr="00FB36FA">
        <w:t>Les éléments ci-après amènent un éclairage sur les réalisations du budget 2023</w:t>
      </w:r>
      <w:r>
        <w:t>. Ils constituent également u</w:t>
      </w:r>
      <w:r w:rsidR="0027260F">
        <w:t xml:space="preserve">ne forme de rapport d’orientation budgétaire sur les perspectives à venir. Bien que l’obligation n’en </w:t>
      </w:r>
      <w:r w:rsidR="001E6081">
        <w:t>soit</w:t>
      </w:r>
      <w:r w:rsidR="0027260F">
        <w:t xml:space="preserve"> pas faite </w:t>
      </w:r>
      <w:r w:rsidR="001E6081">
        <w:t>aux communes inférieures</w:t>
      </w:r>
      <w:r w:rsidR="0027260F">
        <w:t xml:space="preserve"> à 3500 habitants, il nous a paru intéressant d’avoir cette approche pour donner </w:t>
      </w:r>
      <w:r w:rsidR="001E6081">
        <w:t xml:space="preserve">à la population, </w:t>
      </w:r>
      <w:r w:rsidR="0027260F">
        <w:t xml:space="preserve">des éléments de compréhension </w:t>
      </w:r>
      <w:r w:rsidR="001E6081">
        <w:t>d</w:t>
      </w:r>
      <w:r w:rsidR="0027260F">
        <w:t xml:space="preserve">es dépenses et recettes de la </w:t>
      </w:r>
      <w:r w:rsidR="001E6081">
        <w:t>municipalité</w:t>
      </w:r>
      <w:r w:rsidR="0027260F">
        <w:t xml:space="preserve">. </w:t>
      </w:r>
    </w:p>
    <w:p w14:paraId="6DAA4C4F" w14:textId="05744514" w:rsidR="001E6081" w:rsidRPr="00FB36FA" w:rsidRDefault="001E6081">
      <w:r>
        <w:t>C’est aussi une manière de mettre en lumière le travail fourni tout au long de l’année par les employés et les élus de la commune.</w:t>
      </w:r>
    </w:p>
    <w:p w14:paraId="687062C6" w14:textId="77777777" w:rsidR="00E4479F" w:rsidRDefault="00E4479F" w:rsidP="001E6081">
      <w:pPr>
        <w:spacing w:before="120"/>
        <w:rPr>
          <w:b/>
          <w:bCs/>
        </w:rPr>
      </w:pPr>
    </w:p>
    <w:p w14:paraId="585A9951" w14:textId="25CA9986" w:rsidR="00817C1B" w:rsidRPr="003506C9" w:rsidRDefault="00817C1B" w:rsidP="001E6081">
      <w:pPr>
        <w:spacing w:before="120"/>
        <w:rPr>
          <w:b/>
          <w:bCs/>
        </w:rPr>
      </w:pPr>
      <w:r w:rsidRPr="003506C9">
        <w:rPr>
          <w:b/>
          <w:bCs/>
        </w:rPr>
        <w:t>RECETTES DE FONCTIONNEMENT</w:t>
      </w:r>
    </w:p>
    <w:p w14:paraId="4B9FEB52" w14:textId="609354B5" w:rsidR="00817C1B" w:rsidRDefault="004864FD">
      <w:r>
        <w:rPr>
          <w:noProof/>
        </w:rPr>
      </w:r>
      <w:r w:rsidR="004864FD">
        <w:rPr>
          <w:noProof/>
        </w:rPr>
        <w:object w:dxaOrig="14300" w:dyaOrig="3800" w14:anchorId="59506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534pt;height:142pt;mso-width-percent:0;mso-height-percent:0;mso-width-percent:0;mso-height-percent:0" o:ole="">
            <v:imagedata r:id="rId8" o:title=""/>
          </v:shape>
          <o:OLEObject Type="Embed" ProgID="Excel.Sheet.12" ShapeID="_x0000_i1036" DrawAspect="Content" ObjectID="_1773646092" r:id="rId9"/>
        </w:object>
      </w:r>
    </w:p>
    <w:p w14:paraId="74115176" w14:textId="27E8831C" w:rsidR="00817C1B" w:rsidRDefault="00817C1B"/>
    <w:p w14:paraId="37CF734E" w14:textId="08B5353E" w:rsidR="00CF2B68" w:rsidRDefault="00207DD9">
      <w:r>
        <w:t>Les recettes fiscales et les dotations constituent 84,5% des ressources de financement de la commune les autres produits de gestion courante constitués principalement des recettes des loyers ne pèsent que pour 11,2%.</w:t>
      </w:r>
    </w:p>
    <w:p w14:paraId="09FDB895" w14:textId="6E69CB12" w:rsidR="00207DD9" w:rsidRDefault="0079108C">
      <w:r>
        <w:rPr>
          <w:noProof/>
        </w:rPr>
        <w:drawing>
          <wp:inline distT="0" distB="0" distL="0" distR="0" wp14:anchorId="6BA064B4" wp14:editId="03442E47">
            <wp:extent cx="6184900" cy="4191000"/>
            <wp:effectExtent l="0" t="0" r="0" b="0"/>
            <wp:docPr id="174093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3811" name=""/>
                    <pic:cNvPicPr/>
                  </pic:nvPicPr>
                  <pic:blipFill>
                    <a:blip r:embed="rId10"/>
                    <a:stretch>
                      <a:fillRect/>
                    </a:stretch>
                  </pic:blipFill>
                  <pic:spPr>
                    <a:xfrm>
                      <a:off x="0" y="0"/>
                      <a:ext cx="6184900" cy="4191000"/>
                    </a:xfrm>
                    <a:prstGeom prst="rect">
                      <a:avLst/>
                    </a:prstGeom>
                  </pic:spPr>
                </pic:pic>
              </a:graphicData>
            </a:graphic>
          </wp:inline>
        </w:drawing>
      </w:r>
    </w:p>
    <w:p w14:paraId="5251F3B1" w14:textId="266EE8D8" w:rsidR="00B64C50" w:rsidRDefault="00B64C50"/>
    <w:p w14:paraId="3FEEC6CB" w14:textId="778B43CA" w:rsidR="00B64C50" w:rsidRDefault="00B64C50">
      <w:r>
        <w:t>FISCALITE</w:t>
      </w:r>
    </w:p>
    <w:p w14:paraId="3DE6CF49" w14:textId="79C02C50" w:rsidR="0087343B" w:rsidRDefault="0087343B"/>
    <w:p w14:paraId="694B6C2F" w14:textId="5C7103FA" w:rsidR="0087343B" w:rsidRDefault="00D2696E">
      <w:r>
        <w:rPr>
          <w:noProof/>
        </w:rPr>
        <w:lastRenderedPageBreak/>
      </w:r>
      <w:r w:rsidR="00D2696E">
        <w:rPr>
          <w:noProof/>
        </w:rPr>
        <w:pict w14:anchorId="1D92D8C6">
          <v:shape id="_x0000_s1026" type="#_x0000_t75" alt="" style="position:absolute;margin-left:-1.8pt;margin-top:-12.4pt;width:533.35pt;height:82.4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o:lock v:ext="edit" rotation="t" cropping="t" verticies="t" grouping="t"/>
          </v:shape>
        </w:pict>
      </w:r>
    </w:p>
    <w:p w14:paraId="113853BA" w14:textId="77777777" w:rsidR="0087343B" w:rsidRDefault="0087343B"/>
    <w:p w14:paraId="08490294" w14:textId="77777777" w:rsidR="0087343B" w:rsidRDefault="0087343B"/>
    <w:p w14:paraId="07E0A320" w14:textId="77777777" w:rsidR="0087343B" w:rsidRDefault="0087343B"/>
    <w:p w14:paraId="2D339E2C" w14:textId="77777777" w:rsidR="0087343B" w:rsidRDefault="0087343B"/>
    <w:p w14:paraId="4C5B2BEA" w14:textId="77777777" w:rsidR="0087343B" w:rsidRDefault="0087343B"/>
    <w:p w14:paraId="6FFB579F" w14:textId="30F90AA2" w:rsidR="0087343B" w:rsidRDefault="00407482">
      <w:r>
        <w:t>En 2023 les recettes fiscales ont progressé de 58 295€ (+ 10,6%) en raison de la double incidence de la revalorisation des bases par l’État et de la revalorisation du taux sur la taxe foncière.</w:t>
      </w:r>
    </w:p>
    <w:p w14:paraId="2704FCB7" w14:textId="75920913" w:rsidR="00407482" w:rsidRDefault="00407482">
      <w:r>
        <w:t>La progression des droits de mutation reflète le dynamisme des transactions immobilières sur le territoire.</w:t>
      </w:r>
    </w:p>
    <w:p w14:paraId="03AA8D08" w14:textId="77777777" w:rsidR="00E4479F" w:rsidRDefault="00E4479F" w:rsidP="00407482">
      <w:pPr>
        <w:spacing w:before="120"/>
      </w:pPr>
    </w:p>
    <w:p w14:paraId="127B09B7" w14:textId="4879CC97" w:rsidR="00407482" w:rsidRDefault="00407482" w:rsidP="00407482">
      <w:pPr>
        <w:spacing w:before="120"/>
      </w:pPr>
      <w:r>
        <w:t>ORIENTATIONS FISCALES</w:t>
      </w:r>
    </w:p>
    <w:p w14:paraId="58D10048" w14:textId="77777777" w:rsidR="00407482" w:rsidRPr="00407482" w:rsidRDefault="00407482" w:rsidP="00407482">
      <w:pPr>
        <w:pStyle w:val="NormalWeb"/>
        <w:spacing w:before="60" w:beforeAutospacing="0"/>
        <w:rPr>
          <w:rFonts w:asciiTheme="minorHAnsi" w:eastAsiaTheme="minorHAnsi" w:hAnsiTheme="minorHAnsi" w:cstheme="minorBidi"/>
          <w:b/>
          <w:bCs/>
          <w:kern w:val="2"/>
          <w:lang w:eastAsia="en-US"/>
          <w14:ligatures w14:val="standardContextual"/>
        </w:rPr>
      </w:pPr>
      <w:r w:rsidRPr="00407482">
        <w:rPr>
          <w:rFonts w:asciiTheme="minorHAnsi" w:eastAsiaTheme="minorHAnsi" w:hAnsiTheme="minorHAnsi" w:cstheme="minorBidi"/>
          <w:b/>
          <w:bCs/>
          <w:kern w:val="2"/>
          <w:lang w:eastAsia="en-US"/>
          <w14:ligatures w14:val="standardContextual"/>
        </w:rPr>
        <w:t xml:space="preserve">Revalorisation des valeurs locatives </w:t>
      </w:r>
    </w:p>
    <w:p w14:paraId="6504BF91" w14:textId="3861DFC9" w:rsidR="00407482" w:rsidRPr="00407482" w:rsidRDefault="00407482" w:rsidP="00407482">
      <w:pPr>
        <w:pStyle w:val="NormalWeb"/>
        <w:spacing w:before="60" w:beforeAutospacing="0"/>
        <w:rPr>
          <w:rFonts w:asciiTheme="minorHAnsi" w:eastAsiaTheme="minorHAnsi" w:hAnsiTheme="minorHAnsi" w:cstheme="minorBidi"/>
          <w:kern w:val="2"/>
          <w:lang w:eastAsia="en-US"/>
          <w14:ligatures w14:val="standardContextual"/>
        </w:rPr>
      </w:pPr>
      <w:r w:rsidRPr="00407482">
        <w:rPr>
          <w:rFonts w:asciiTheme="minorHAnsi" w:eastAsiaTheme="minorHAnsi" w:hAnsiTheme="minorHAnsi" w:cstheme="minorBidi"/>
          <w:kern w:val="2"/>
          <w:lang w:eastAsia="en-US"/>
          <w14:ligatures w14:val="standardContextual"/>
        </w:rPr>
        <w:t xml:space="preserve">Le mécanisme d’actualisation automatique des valeurs locatives </w:t>
      </w:r>
      <w:r w:rsidR="003C3AA8">
        <w:rPr>
          <w:rFonts w:asciiTheme="minorHAnsi" w:eastAsiaTheme="minorHAnsi" w:hAnsiTheme="minorHAnsi" w:cstheme="minorBidi"/>
          <w:kern w:val="2"/>
          <w:lang w:eastAsia="en-US"/>
          <w14:ligatures w14:val="standardContextual"/>
        </w:rPr>
        <w:t>par l’</w:t>
      </w:r>
      <w:proofErr w:type="spellStart"/>
      <w:r w:rsidR="003C3AA8">
        <w:rPr>
          <w:rFonts w:asciiTheme="minorHAnsi" w:eastAsiaTheme="minorHAnsi" w:hAnsiTheme="minorHAnsi" w:cstheme="minorBidi"/>
          <w:kern w:val="2"/>
          <w:lang w:eastAsia="en-US"/>
          <w14:ligatures w14:val="standardContextual"/>
        </w:rPr>
        <w:t>Etat</w:t>
      </w:r>
      <w:proofErr w:type="spellEnd"/>
      <w:r w:rsidR="003C3AA8">
        <w:rPr>
          <w:rFonts w:asciiTheme="minorHAnsi" w:eastAsiaTheme="minorHAnsi" w:hAnsiTheme="minorHAnsi" w:cstheme="minorBidi"/>
          <w:kern w:val="2"/>
          <w:lang w:eastAsia="en-US"/>
          <w14:ligatures w14:val="standardContextual"/>
        </w:rPr>
        <w:t xml:space="preserve"> </w:t>
      </w:r>
      <w:r w:rsidRPr="00407482">
        <w:rPr>
          <w:rFonts w:asciiTheme="minorHAnsi" w:eastAsiaTheme="minorHAnsi" w:hAnsiTheme="minorHAnsi" w:cstheme="minorBidi"/>
          <w:kern w:val="2"/>
          <w:lang w:eastAsia="en-US"/>
          <w14:ligatures w14:val="standardContextual"/>
        </w:rPr>
        <w:t>s’appuyant sur l’indice des prix à la consommation harmonisé (IPCH), il sera particulièrement marqué par la reprise de l’inflation.</w:t>
      </w:r>
      <w:r w:rsidRPr="00407482">
        <w:rPr>
          <w:rFonts w:asciiTheme="minorHAnsi" w:eastAsiaTheme="minorHAnsi" w:hAnsiTheme="minorHAnsi" w:cstheme="minorBidi"/>
          <w:kern w:val="2"/>
          <w:lang w:eastAsia="en-US"/>
          <w14:ligatures w14:val="standardContextual"/>
        </w:rPr>
        <w:br/>
        <w:t xml:space="preserve">Les valeurs locatives devraient donc être revalorisées en 2024 de +3,9% (hors variation physique des bases). </w:t>
      </w:r>
    </w:p>
    <w:p w14:paraId="183DBD73" w14:textId="77777777" w:rsidR="00407482" w:rsidRDefault="00407482" w:rsidP="00407482">
      <w:pPr>
        <w:pStyle w:val="NormalWeb"/>
        <w:rPr>
          <w:rFonts w:asciiTheme="minorHAnsi" w:eastAsiaTheme="minorHAnsi" w:hAnsiTheme="minorHAnsi" w:cstheme="minorBidi"/>
          <w:kern w:val="2"/>
          <w:lang w:eastAsia="en-US"/>
          <w14:ligatures w14:val="standardContextual"/>
        </w:rPr>
      </w:pPr>
    </w:p>
    <w:p w14:paraId="705440A5" w14:textId="6B4823E1" w:rsidR="00191815" w:rsidRDefault="000B45FE" w:rsidP="00407482">
      <w:pPr>
        <w:pStyle w:val="NormalWeb"/>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DOTATIONS</w:t>
      </w:r>
    </w:p>
    <w:p w14:paraId="29AEED3B" w14:textId="3107E891" w:rsidR="009466BA" w:rsidRDefault="00D2696E" w:rsidP="009466BA">
      <w:pPr>
        <w:pStyle w:val="NormalWeb"/>
        <w:rPr>
          <w:rFonts w:asciiTheme="minorHAnsi" w:eastAsiaTheme="minorHAnsi" w:hAnsiTheme="minorHAnsi" w:cstheme="minorBidi"/>
          <w:kern w:val="2"/>
          <w:lang w:eastAsia="en-US"/>
          <w14:ligatures w14:val="standardContextual"/>
        </w:rPr>
      </w:pPr>
      <w:r w:rsidRPr="0067744E">
        <w:rPr>
          <w:rFonts w:asciiTheme="minorHAnsi" w:eastAsiaTheme="minorHAnsi" w:hAnsiTheme="minorHAnsi" w:cstheme="minorBidi"/>
          <w:noProof/>
          <w:kern w:val="2"/>
          <w:lang w:eastAsia="en-US"/>
          <w14:ligatures w14:val="standardContextual"/>
        </w:rPr>
      </w:r>
      <w:r w:rsidR="00D2696E" w:rsidRPr="0067744E">
        <w:rPr>
          <w:rFonts w:asciiTheme="minorHAnsi" w:eastAsiaTheme="minorHAnsi" w:hAnsiTheme="minorHAnsi" w:cstheme="minorBidi"/>
          <w:noProof/>
          <w:kern w:val="2"/>
          <w:lang w:eastAsia="en-US"/>
          <w14:ligatures w14:val="standardContextual"/>
        </w:rPr>
        <w:object w:dxaOrig="16440" w:dyaOrig="5780" w14:anchorId="56D95F32">
          <v:shape id="_x0000_i1026" type="#_x0000_t75" alt="" style="width:515pt;height:181pt;mso-width-percent:0;mso-height-percent:0;mso-width-percent:0;mso-height-percent:0" o:ole="">
            <v:imagedata r:id="rId12" o:title=""/>
          </v:shape>
          <o:OLEObject Type="Embed" ProgID="Excel.Sheet.12" ShapeID="_x0000_i1026" DrawAspect="Content" ObjectID="_1773646083" r:id="rId13"/>
        </w:object>
      </w:r>
    </w:p>
    <w:p w14:paraId="1306ED0D" w14:textId="416F6E25" w:rsidR="009466BA" w:rsidRDefault="009466BA" w:rsidP="009466BA">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 xml:space="preserve">Les dotations ont progressé de </w:t>
      </w:r>
      <w:r w:rsidR="00940483">
        <w:rPr>
          <w:rFonts w:asciiTheme="minorHAnsi" w:eastAsiaTheme="minorHAnsi" w:hAnsiTheme="minorHAnsi" w:cstheme="minorBidi"/>
          <w:kern w:val="2"/>
          <w:lang w:eastAsia="en-US"/>
          <w14:ligatures w14:val="standardContextual"/>
        </w:rPr>
        <w:t>10,3</w:t>
      </w:r>
      <w:r>
        <w:rPr>
          <w:rFonts w:asciiTheme="minorHAnsi" w:eastAsiaTheme="minorHAnsi" w:hAnsiTheme="minorHAnsi" w:cstheme="minorBidi"/>
          <w:kern w:val="2"/>
          <w:lang w:eastAsia="en-US"/>
          <w14:ligatures w14:val="standardContextual"/>
        </w:rPr>
        <w:t>% en raison principalement de :</w:t>
      </w:r>
    </w:p>
    <w:p w14:paraId="429669BB" w14:textId="205A5B0C" w:rsidR="009466BA" w:rsidRDefault="009466BA" w:rsidP="009466BA">
      <w:pPr>
        <w:pStyle w:val="NormalWeb"/>
        <w:numPr>
          <w:ilvl w:val="0"/>
          <w:numId w:val="1"/>
        </w:numPr>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 xml:space="preserve">L’augmentation de la dotation de solidarité rurale destinée à </w:t>
      </w:r>
      <w:r w:rsidR="00193639">
        <w:rPr>
          <w:rFonts w:asciiTheme="minorHAnsi" w:eastAsiaTheme="minorHAnsi" w:hAnsiTheme="minorHAnsi" w:cstheme="minorBidi"/>
          <w:kern w:val="2"/>
          <w:lang w:eastAsia="en-US"/>
          <w14:ligatures w14:val="standardContextual"/>
        </w:rPr>
        <w:t>aider</w:t>
      </w:r>
      <w:r>
        <w:rPr>
          <w:rFonts w:asciiTheme="minorHAnsi" w:eastAsiaTheme="minorHAnsi" w:hAnsiTheme="minorHAnsi" w:cstheme="minorBidi"/>
          <w:kern w:val="2"/>
          <w:lang w:eastAsia="en-US"/>
          <w14:ligatures w14:val="standardContextual"/>
        </w:rPr>
        <w:t xml:space="preserve"> les communes en milieu moins favorisé,</w:t>
      </w:r>
    </w:p>
    <w:p w14:paraId="30CA3C07" w14:textId="1771DBC5" w:rsidR="009466BA" w:rsidRDefault="00903C9F" w:rsidP="009466BA">
      <w:pPr>
        <w:pStyle w:val="NormalWeb"/>
        <w:numPr>
          <w:ilvl w:val="0"/>
          <w:numId w:val="1"/>
        </w:numPr>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L’intégration</w:t>
      </w:r>
      <w:r w:rsidR="009466BA">
        <w:rPr>
          <w:rFonts w:asciiTheme="minorHAnsi" w:eastAsiaTheme="minorHAnsi" w:hAnsiTheme="minorHAnsi" w:cstheme="minorBidi"/>
          <w:kern w:val="2"/>
          <w:lang w:eastAsia="en-US"/>
          <w14:ligatures w14:val="standardContextual"/>
        </w:rPr>
        <w:t xml:space="preserve"> de la TVA sur les dépenses de 2021,</w:t>
      </w:r>
    </w:p>
    <w:p w14:paraId="5CC30715" w14:textId="33F39999" w:rsidR="000B45FE" w:rsidRDefault="00DE5E10" w:rsidP="009466BA">
      <w:pPr>
        <w:pStyle w:val="NormalWeb"/>
        <w:numPr>
          <w:ilvl w:val="0"/>
          <w:numId w:val="1"/>
        </w:numPr>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L’allocation</w:t>
      </w:r>
      <w:r w:rsidR="009466BA">
        <w:rPr>
          <w:rFonts w:asciiTheme="minorHAnsi" w:eastAsiaTheme="minorHAnsi" w:hAnsiTheme="minorHAnsi" w:cstheme="minorBidi"/>
          <w:kern w:val="2"/>
          <w:lang w:eastAsia="en-US"/>
          <w14:ligatures w14:val="standardContextual"/>
        </w:rPr>
        <w:t xml:space="preserve"> pour le recensement.</w:t>
      </w:r>
    </w:p>
    <w:p w14:paraId="53AA664C" w14:textId="6BDA272D" w:rsidR="009466BA" w:rsidRDefault="00091F9E"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DEPENSES DE FONCTIONNEMENT</w:t>
      </w:r>
    </w:p>
    <w:p w14:paraId="63131A42" w14:textId="1ECA0926" w:rsidR="00091F9E" w:rsidRDefault="00D2696E"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sidRPr="0067744E">
        <w:rPr>
          <w:rFonts w:asciiTheme="minorHAnsi" w:eastAsiaTheme="minorHAnsi" w:hAnsiTheme="minorHAnsi" w:cstheme="minorBidi"/>
          <w:noProof/>
          <w:kern w:val="2"/>
          <w:lang w:eastAsia="en-US"/>
          <w14:ligatures w14:val="standardContextual"/>
        </w:rPr>
      </w:r>
      <w:r w:rsidR="00D2696E" w:rsidRPr="0067744E">
        <w:rPr>
          <w:rFonts w:asciiTheme="minorHAnsi" w:eastAsiaTheme="minorHAnsi" w:hAnsiTheme="minorHAnsi" w:cstheme="minorBidi"/>
          <w:noProof/>
          <w:kern w:val="2"/>
          <w:lang w:eastAsia="en-US"/>
          <w14:ligatures w14:val="standardContextual"/>
        </w:rPr>
        <w:object w:dxaOrig="14320" w:dyaOrig="2680" w14:anchorId="47CDB5F8">
          <v:shape id="_x0000_i1027" type="#_x0000_t75" alt="" style="width:524pt;height:98pt;mso-width-percent:0;mso-height-percent:0;mso-width-percent:0;mso-height-percent:0" o:ole="">
            <v:imagedata r:id="rId14" o:title=""/>
          </v:shape>
          <o:OLEObject Type="Embed" ProgID="Excel.Sheet.12" ShapeID="_x0000_i1027" DrawAspect="Content" ObjectID="_1773646084" r:id="rId15"/>
        </w:object>
      </w:r>
    </w:p>
    <w:p w14:paraId="78EBD469" w14:textId="35040617" w:rsidR="00091F9E" w:rsidRDefault="00091F9E" w:rsidP="009A5335">
      <w:pPr>
        <w:pStyle w:val="NormalWeb"/>
        <w:spacing w:before="24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lastRenderedPageBreak/>
        <w:t>En apparence les dépenses de fonctionnement sont restées relativement stable</w:t>
      </w:r>
      <w:r w:rsidR="000F514E">
        <w:rPr>
          <w:rFonts w:asciiTheme="minorHAnsi" w:eastAsiaTheme="minorHAnsi" w:hAnsiTheme="minorHAnsi" w:cstheme="minorBidi"/>
          <w:kern w:val="2"/>
          <w:lang w:eastAsia="en-US"/>
          <w14:ligatures w14:val="standardContextual"/>
        </w:rPr>
        <w:t>s</w:t>
      </w:r>
      <w:r>
        <w:rPr>
          <w:rFonts w:asciiTheme="minorHAnsi" w:eastAsiaTheme="minorHAnsi" w:hAnsiTheme="minorHAnsi" w:cstheme="minorBidi"/>
          <w:kern w:val="2"/>
          <w:lang w:eastAsia="en-US"/>
          <w14:ligatures w14:val="standardContextual"/>
        </w:rPr>
        <w:t xml:space="preserve"> malgré l’inflation qui a provoqué une hausse des achats et surtout des factures d’énergie</w:t>
      </w:r>
      <w:r w:rsidR="000F514E">
        <w:rPr>
          <w:rFonts w:asciiTheme="minorHAnsi" w:eastAsiaTheme="minorHAnsi" w:hAnsiTheme="minorHAnsi" w:cstheme="minorBidi"/>
          <w:kern w:val="2"/>
          <w:lang w:eastAsia="en-US"/>
          <w14:ligatures w14:val="standardContextual"/>
        </w:rPr>
        <w:t>,</w:t>
      </w:r>
      <w:r>
        <w:rPr>
          <w:rFonts w:asciiTheme="minorHAnsi" w:eastAsiaTheme="minorHAnsi" w:hAnsiTheme="minorHAnsi" w:cstheme="minorBidi"/>
          <w:kern w:val="2"/>
          <w:lang w:eastAsia="en-US"/>
          <w14:ligatures w14:val="standardContextual"/>
        </w:rPr>
        <w:t xml:space="preserve"> ainsi que l’augmentation des frais de personnel</w:t>
      </w:r>
      <w:r w:rsidR="000F514E">
        <w:rPr>
          <w:rFonts w:asciiTheme="minorHAnsi" w:eastAsiaTheme="minorHAnsi" w:hAnsiTheme="minorHAnsi" w:cstheme="minorBidi"/>
          <w:kern w:val="2"/>
          <w:lang w:eastAsia="en-US"/>
          <w14:ligatures w14:val="standardContextual"/>
        </w:rPr>
        <w:t>,</w:t>
      </w:r>
      <w:r>
        <w:rPr>
          <w:rFonts w:asciiTheme="minorHAnsi" w:eastAsiaTheme="minorHAnsi" w:hAnsiTheme="minorHAnsi" w:cstheme="minorBidi"/>
          <w:kern w:val="2"/>
          <w:lang w:eastAsia="en-US"/>
          <w14:ligatures w14:val="standardContextual"/>
        </w:rPr>
        <w:t xml:space="preserve"> </w:t>
      </w:r>
      <w:r w:rsidR="000F514E">
        <w:rPr>
          <w:rFonts w:asciiTheme="minorHAnsi" w:eastAsiaTheme="minorHAnsi" w:hAnsiTheme="minorHAnsi" w:cstheme="minorBidi"/>
          <w:kern w:val="2"/>
          <w:lang w:eastAsia="en-US"/>
          <w14:ligatures w14:val="standardContextual"/>
        </w:rPr>
        <w:t>conséquence de</w:t>
      </w:r>
      <w:r>
        <w:rPr>
          <w:rFonts w:asciiTheme="minorHAnsi" w:eastAsiaTheme="minorHAnsi" w:hAnsiTheme="minorHAnsi" w:cstheme="minorBidi"/>
          <w:kern w:val="2"/>
          <w:lang w:eastAsia="en-US"/>
          <w14:ligatures w14:val="standardContextual"/>
        </w:rPr>
        <w:t xml:space="preserve"> la revalorisation du point d’indice intervenue en juillet.</w:t>
      </w:r>
    </w:p>
    <w:p w14:paraId="5EA023BD" w14:textId="62D3D7DD" w:rsidR="00091F9E" w:rsidRDefault="00091F9E"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Ce sont principalement l</w:t>
      </w:r>
      <w:r w:rsidR="000F514E">
        <w:rPr>
          <w:rFonts w:asciiTheme="minorHAnsi" w:eastAsiaTheme="minorHAnsi" w:hAnsiTheme="minorHAnsi" w:cstheme="minorBidi"/>
          <w:kern w:val="2"/>
          <w:lang w:eastAsia="en-US"/>
          <w14:ligatures w14:val="standardContextual"/>
        </w:rPr>
        <w:t>es</w:t>
      </w:r>
      <w:r>
        <w:rPr>
          <w:rFonts w:asciiTheme="minorHAnsi" w:eastAsiaTheme="minorHAnsi" w:hAnsiTheme="minorHAnsi" w:cstheme="minorBidi"/>
          <w:kern w:val="2"/>
          <w:lang w:eastAsia="en-US"/>
          <w14:ligatures w14:val="standardContextual"/>
        </w:rPr>
        <w:t xml:space="preserve"> baisse</w:t>
      </w:r>
      <w:r w:rsidR="000F514E">
        <w:rPr>
          <w:rFonts w:asciiTheme="minorHAnsi" w:eastAsiaTheme="minorHAnsi" w:hAnsiTheme="minorHAnsi" w:cstheme="minorBidi"/>
          <w:kern w:val="2"/>
          <w:lang w:eastAsia="en-US"/>
          <w14:ligatures w14:val="standardContextual"/>
        </w:rPr>
        <w:t>s</w:t>
      </w:r>
      <w:r>
        <w:rPr>
          <w:rFonts w:asciiTheme="minorHAnsi" w:eastAsiaTheme="minorHAnsi" w:hAnsiTheme="minorHAnsi" w:cstheme="minorBidi"/>
          <w:kern w:val="2"/>
          <w:lang w:eastAsia="en-US"/>
          <w14:ligatures w14:val="standardContextual"/>
        </w:rPr>
        <w:t xml:space="preserve"> des autres charges de gestion courante qui explique</w:t>
      </w:r>
      <w:r w:rsidR="000F514E">
        <w:rPr>
          <w:rFonts w:asciiTheme="minorHAnsi" w:eastAsiaTheme="minorHAnsi" w:hAnsiTheme="minorHAnsi" w:cstheme="minorBidi"/>
          <w:kern w:val="2"/>
          <w:lang w:eastAsia="en-US"/>
          <w14:ligatures w14:val="standardContextual"/>
        </w:rPr>
        <w:t>nt</w:t>
      </w:r>
      <w:r>
        <w:rPr>
          <w:rFonts w:asciiTheme="minorHAnsi" w:eastAsiaTheme="minorHAnsi" w:hAnsiTheme="minorHAnsi" w:cstheme="minorBidi"/>
          <w:kern w:val="2"/>
          <w:lang w:eastAsia="en-US"/>
          <w14:ligatures w14:val="standardContextual"/>
        </w:rPr>
        <w:t xml:space="preserve"> ce bon résultat </w:t>
      </w:r>
      <w:r w:rsidR="00F641C2">
        <w:rPr>
          <w:rFonts w:asciiTheme="minorHAnsi" w:eastAsiaTheme="minorHAnsi" w:hAnsiTheme="minorHAnsi" w:cstheme="minorBidi"/>
          <w:kern w:val="2"/>
          <w:lang w:eastAsia="en-US"/>
          <w14:ligatures w14:val="standardContextual"/>
        </w:rPr>
        <w:t>et</w:t>
      </w:r>
      <w:r>
        <w:rPr>
          <w:rFonts w:asciiTheme="minorHAnsi" w:eastAsiaTheme="minorHAnsi" w:hAnsiTheme="minorHAnsi" w:cstheme="minorBidi"/>
          <w:kern w:val="2"/>
          <w:lang w:eastAsia="en-US"/>
          <w14:ligatures w14:val="standardContextual"/>
        </w:rPr>
        <w:t xml:space="preserve"> </w:t>
      </w:r>
      <w:r w:rsidR="00D06FF1">
        <w:rPr>
          <w:rFonts w:asciiTheme="minorHAnsi" w:eastAsiaTheme="minorHAnsi" w:hAnsiTheme="minorHAnsi" w:cstheme="minorBidi"/>
          <w:kern w:val="2"/>
          <w:lang w:eastAsia="en-US"/>
          <w14:ligatures w14:val="standardContextual"/>
        </w:rPr>
        <w:t xml:space="preserve">notamment </w:t>
      </w:r>
      <w:r>
        <w:rPr>
          <w:rFonts w:asciiTheme="minorHAnsi" w:eastAsiaTheme="minorHAnsi" w:hAnsiTheme="minorHAnsi" w:cstheme="minorBidi"/>
          <w:kern w:val="2"/>
          <w:lang w:eastAsia="en-US"/>
          <w14:ligatures w14:val="standardContextual"/>
        </w:rPr>
        <w:t>la diminution</w:t>
      </w:r>
      <w:r w:rsidR="00DE5E10">
        <w:rPr>
          <w:rFonts w:asciiTheme="minorHAnsi" w:eastAsiaTheme="minorHAnsi" w:hAnsiTheme="minorHAnsi" w:cstheme="minorBidi"/>
          <w:kern w:val="2"/>
          <w:lang w:eastAsia="en-US"/>
          <w14:ligatures w14:val="standardContextual"/>
        </w:rPr>
        <w:t xml:space="preserve"> de la subvention au créneau qui est dorénavant versée directement à l’association par la CAF. Les recettes </w:t>
      </w:r>
      <w:r w:rsidR="00F641C2">
        <w:rPr>
          <w:rFonts w:asciiTheme="minorHAnsi" w:eastAsiaTheme="minorHAnsi" w:hAnsiTheme="minorHAnsi" w:cstheme="minorBidi"/>
          <w:kern w:val="2"/>
          <w:lang w:eastAsia="en-US"/>
          <w14:ligatures w14:val="standardContextual"/>
        </w:rPr>
        <w:t xml:space="preserve">en 2023 </w:t>
      </w:r>
      <w:r w:rsidR="00DE5E10">
        <w:rPr>
          <w:rFonts w:asciiTheme="minorHAnsi" w:eastAsiaTheme="minorHAnsi" w:hAnsiTheme="minorHAnsi" w:cstheme="minorBidi"/>
          <w:kern w:val="2"/>
          <w:lang w:eastAsia="en-US"/>
          <w14:ligatures w14:val="standardContextual"/>
        </w:rPr>
        <w:t>n’ont pas été impactées car la CAF nous reversait cette subvention avec un an de décalage.</w:t>
      </w:r>
      <w:r w:rsidR="0093763F" w:rsidRPr="0093763F">
        <w:rPr>
          <w:rFonts w:asciiTheme="minorHAnsi" w:eastAsiaTheme="minorHAnsi" w:hAnsiTheme="minorHAnsi" w:cstheme="minorBidi"/>
          <w:kern w:val="2"/>
          <w:lang w:eastAsia="en-US"/>
          <w14:ligatures w14:val="standardContextual"/>
        </w:rPr>
        <w:t xml:space="preserve"> </w:t>
      </w:r>
      <w:r w:rsidR="0093763F">
        <w:rPr>
          <w:rFonts w:asciiTheme="minorHAnsi" w:eastAsiaTheme="minorHAnsi" w:hAnsiTheme="minorHAnsi" w:cstheme="minorBidi"/>
          <w:kern w:val="2"/>
          <w:lang w:eastAsia="en-US"/>
          <w14:ligatures w14:val="standardContextual"/>
        </w:rPr>
        <w:t>Le montant net des subventions au Créneau reste identique aux années précédentes.</w:t>
      </w:r>
    </w:p>
    <w:p w14:paraId="7F58ECBC" w14:textId="1FB99ED8" w:rsidR="00E4479F" w:rsidRDefault="00BE184B"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noProof/>
        </w:rPr>
        <w:drawing>
          <wp:inline distT="0" distB="0" distL="0" distR="0" wp14:anchorId="2F0F9624" wp14:editId="41A3C284">
            <wp:extent cx="6751320" cy="3564890"/>
            <wp:effectExtent l="0" t="0" r="5080" b="3810"/>
            <wp:docPr id="604854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54245" name=""/>
                    <pic:cNvPicPr/>
                  </pic:nvPicPr>
                  <pic:blipFill>
                    <a:blip r:embed="rId16"/>
                    <a:stretch>
                      <a:fillRect/>
                    </a:stretch>
                  </pic:blipFill>
                  <pic:spPr>
                    <a:xfrm>
                      <a:off x="0" y="0"/>
                      <a:ext cx="6751320" cy="3564890"/>
                    </a:xfrm>
                    <a:prstGeom prst="rect">
                      <a:avLst/>
                    </a:prstGeom>
                  </pic:spPr>
                </pic:pic>
              </a:graphicData>
            </a:graphic>
          </wp:inline>
        </w:drawing>
      </w:r>
    </w:p>
    <w:p w14:paraId="4B74DABE" w14:textId="40F12D05" w:rsidR="00091F9E" w:rsidRDefault="00212298"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CHARGES A CARACTERE GENERAL</w:t>
      </w:r>
    </w:p>
    <w:p w14:paraId="22834852" w14:textId="75792390" w:rsidR="00212298" w:rsidRDefault="00212298"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Ce poste recouvre les dépenses courantes de la municipalité</w:t>
      </w:r>
      <w:r w:rsidR="000F514E">
        <w:rPr>
          <w:rFonts w:asciiTheme="minorHAnsi" w:eastAsiaTheme="minorHAnsi" w:hAnsiTheme="minorHAnsi" w:cstheme="minorBidi"/>
          <w:kern w:val="2"/>
          <w:lang w:eastAsia="en-US"/>
          <w14:ligatures w14:val="standardContextual"/>
        </w:rPr>
        <w:t> :</w:t>
      </w:r>
      <w:r>
        <w:rPr>
          <w:rFonts w:asciiTheme="minorHAnsi" w:eastAsiaTheme="minorHAnsi" w:hAnsiTheme="minorHAnsi" w:cstheme="minorBidi"/>
          <w:kern w:val="2"/>
          <w:lang w:eastAsia="en-US"/>
          <w14:ligatures w14:val="standardContextual"/>
        </w:rPr>
        <w:t xml:space="preserve"> Les achats de fournitures, les dépenses d’énergie et les coûts d’entretien des bâtiments, des équipements et de la voirie communale. C’est la rubrique qui est la plus impactée par l’inflation.</w:t>
      </w:r>
    </w:p>
    <w:p w14:paraId="702A3435" w14:textId="770563A0" w:rsidR="00212298" w:rsidRDefault="00212298"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 xml:space="preserve">En 2023, ce poste a augmenté de 14 661 € (2,8%) ce qui </w:t>
      </w:r>
      <w:r w:rsidR="00720837">
        <w:rPr>
          <w:rFonts w:asciiTheme="minorHAnsi" w:eastAsiaTheme="minorHAnsi" w:hAnsiTheme="minorHAnsi" w:cstheme="minorBidi"/>
          <w:kern w:val="2"/>
          <w:lang w:eastAsia="en-US"/>
          <w14:ligatures w14:val="standardContextual"/>
        </w:rPr>
        <w:t>est</w:t>
      </w:r>
      <w:r>
        <w:rPr>
          <w:rFonts w:asciiTheme="minorHAnsi" w:eastAsiaTheme="minorHAnsi" w:hAnsiTheme="minorHAnsi" w:cstheme="minorBidi"/>
          <w:kern w:val="2"/>
          <w:lang w:eastAsia="en-US"/>
          <w14:ligatures w14:val="standardContextual"/>
        </w:rPr>
        <w:t xml:space="preserve"> inf</w:t>
      </w:r>
      <w:r w:rsidR="00720837">
        <w:rPr>
          <w:rFonts w:asciiTheme="minorHAnsi" w:eastAsiaTheme="minorHAnsi" w:hAnsiTheme="minorHAnsi" w:cstheme="minorBidi"/>
          <w:kern w:val="2"/>
          <w:lang w:eastAsia="en-US"/>
          <w14:ligatures w14:val="standardContextual"/>
        </w:rPr>
        <w:t>é</w:t>
      </w:r>
      <w:r>
        <w:rPr>
          <w:rFonts w:asciiTheme="minorHAnsi" w:eastAsiaTheme="minorHAnsi" w:hAnsiTheme="minorHAnsi" w:cstheme="minorBidi"/>
          <w:kern w:val="2"/>
          <w:lang w:eastAsia="en-US"/>
          <w14:ligatures w14:val="standardContextual"/>
        </w:rPr>
        <w:t xml:space="preserve">rieur à l’inflation, </w:t>
      </w:r>
      <w:r w:rsidR="00720837">
        <w:rPr>
          <w:rFonts w:asciiTheme="minorHAnsi" w:eastAsiaTheme="minorHAnsi" w:hAnsiTheme="minorHAnsi" w:cstheme="minorBidi"/>
          <w:kern w:val="2"/>
          <w:lang w:eastAsia="en-US"/>
          <w14:ligatures w14:val="standardContextual"/>
        </w:rPr>
        <w:t>cette relative modération est principalement due au report en 2024 des frais de transports scolaires qui sont facturés une année sur deux par l</w:t>
      </w:r>
      <w:r w:rsidR="00903C9F">
        <w:rPr>
          <w:rFonts w:asciiTheme="minorHAnsi" w:eastAsiaTheme="minorHAnsi" w:hAnsiTheme="minorHAnsi" w:cstheme="minorBidi"/>
          <w:kern w:val="2"/>
          <w:lang w:eastAsia="en-US"/>
          <w14:ligatures w14:val="standardContextual"/>
        </w:rPr>
        <w:t>a région</w:t>
      </w:r>
      <w:r w:rsidR="00720837">
        <w:rPr>
          <w:rFonts w:asciiTheme="minorHAnsi" w:eastAsiaTheme="minorHAnsi" w:hAnsiTheme="minorHAnsi" w:cstheme="minorBidi"/>
          <w:kern w:val="2"/>
          <w:lang w:eastAsia="en-US"/>
          <w14:ligatures w14:val="standardContextual"/>
        </w:rPr>
        <w:t xml:space="preserve">. Ce poste verra donc une régularisation de </w:t>
      </w:r>
      <w:r w:rsidR="000F514E">
        <w:rPr>
          <w:rFonts w:asciiTheme="minorHAnsi" w:eastAsiaTheme="minorHAnsi" w:hAnsiTheme="minorHAnsi" w:cstheme="minorBidi"/>
          <w:kern w:val="2"/>
          <w:lang w:eastAsia="en-US"/>
          <w14:ligatures w14:val="standardContextual"/>
        </w:rPr>
        <w:t>18</w:t>
      </w:r>
      <w:r w:rsidR="00720837">
        <w:rPr>
          <w:rFonts w:asciiTheme="minorHAnsi" w:eastAsiaTheme="minorHAnsi" w:hAnsiTheme="minorHAnsi" w:cstheme="minorBidi"/>
          <w:kern w:val="2"/>
          <w:lang w:eastAsia="en-US"/>
          <w14:ligatures w14:val="standardContextual"/>
        </w:rPr>
        <w:t xml:space="preserve"> 000 € sur le prochain exercice.</w:t>
      </w:r>
    </w:p>
    <w:p w14:paraId="0719222E" w14:textId="7CB66105" w:rsidR="00E34430" w:rsidRDefault="00E34430"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Les dépenses d’électricité sont restées stable</w:t>
      </w:r>
      <w:r w:rsidR="000F514E">
        <w:rPr>
          <w:rFonts w:asciiTheme="minorHAnsi" w:eastAsiaTheme="minorHAnsi" w:hAnsiTheme="minorHAnsi" w:cstheme="minorBidi"/>
          <w:kern w:val="2"/>
          <w:lang w:eastAsia="en-US"/>
          <w14:ligatures w14:val="standardContextual"/>
        </w:rPr>
        <w:t>s</w:t>
      </w:r>
      <w:r>
        <w:rPr>
          <w:rFonts w:asciiTheme="minorHAnsi" w:eastAsiaTheme="minorHAnsi" w:hAnsiTheme="minorHAnsi" w:cstheme="minorBidi"/>
          <w:kern w:val="2"/>
          <w:lang w:eastAsia="en-US"/>
          <w14:ligatures w14:val="standardContextual"/>
        </w:rPr>
        <w:t xml:space="preserve"> en 2023 (66 236€) grâce au bouclier tarifaire et à l’incidence de la campagne de remplacement des luminaires de l’éclairage public par des LED. </w:t>
      </w:r>
    </w:p>
    <w:p w14:paraId="7ECB7CB7" w14:textId="5C5D7C15" w:rsidR="00E34430" w:rsidRDefault="00E34430"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 xml:space="preserve">Le poste combustible et gaz est celui qui a le plus </w:t>
      </w:r>
      <w:r w:rsidR="000F514E">
        <w:rPr>
          <w:rFonts w:asciiTheme="minorHAnsi" w:eastAsiaTheme="minorHAnsi" w:hAnsiTheme="minorHAnsi" w:cstheme="minorBidi"/>
          <w:kern w:val="2"/>
          <w:lang w:eastAsia="en-US"/>
          <w14:ligatures w14:val="standardContextual"/>
        </w:rPr>
        <w:t>progressé</w:t>
      </w:r>
      <w:r>
        <w:rPr>
          <w:rFonts w:asciiTheme="minorHAnsi" w:eastAsiaTheme="minorHAnsi" w:hAnsiTheme="minorHAnsi" w:cstheme="minorBidi"/>
          <w:kern w:val="2"/>
          <w:lang w:eastAsia="en-US"/>
          <w14:ligatures w14:val="standardContextual"/>
        </w:rPr>
        <w:t xml:space="preserve"> (+ 24 181€ soit +50,5%) et devrait encore continuer d’augmenter en 2024.</w:t>
      </w:r>
    </w:p>
    <w:p w14:paraId="0297E0C9" w14:textId="6A67E11B" w:rsidR="00AA79F5" w:rsidRDefault="00AA79F5"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Le poste entretien voirie a été limité à 27 178</w:t>
      </w:r>
      <w:r w:rsidR="003506C9">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 xml:space="preserve"> en baisse de 12 324 € (-31,2%) par rapport à 2022.</w:t>
      </w:r>
    </w:p>
    <w:p w14:paraId="29556EA4" w14:textId="096E14C3" w:rsidR="00AA79F5" w:rsidRDefault="00AA79F5"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Les frais d’honoraires ont progressé de 9</w:t>
      </w:r>
      <w:r w:rsidR="000F514E">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407 € (32 479 € en 2023) par suite des procédures en cours</w:t>
      </w:r>
      <w:r w:rsidR="0093763F">
        <w:rPr>
          <w:rFonts w:asciiTheme="minorHAnsi" w:eastAsiaTheme="minorHAnsi" w:hAnsiTheme="minorHAnsi" w:cstheme="minorBidi"/>
          <w:kern w:val="2"/>
          <w:lang w:eastAsia="en-US"/>
          <w14:ligatures w14:val="standardContextual"/>
        </w:rPr>
        <w:t xml:space="preserve"> intentées contre la commune auprès du tribunal administratif</w:t>
      </w:r>
      <w:r>
        <w:rPr>
          <w:rFonts w:asciiTheme="minorHAnsi" w:eastAsiaTheme="minorHAnsi" w:hAnsiTheme="minorHAnsi" w:cstheme="minorBidi"/>
          <w:kern w:val="2"/>
          <w:lang w:eastAsia="en-US"/>
          <w14:ligatures w14:val="standardContextual"/>
        </w:rPr>
        <w:t xml:space="preserve">. </w:t>
      </w:r>
    </w:p>
    <w:p w14:paraId="797DBA1C" w14:textId="112229C1" w:rsidR="00AA79F5" w:rsidRDefault="00AA79F5"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LES DEPENSES DE PERSONNEL</w:t>
      </w:r>
    </w:p>
    <w:p w14:paraId="31794638" w14:textId="2B280E17" w:rsidR="00AA79F5" w:rsidRPr="00AA79F5" w:rsidRDefault="00AA79F5" w:rsidP="00AA79F5">
      <w:pPr>
        <w:pStyle w:val="NormalWeb"/>
        <w:rPr>
          <w:rFonts w:asciiTheme="minorHAnsi" w:eastAsiaTheme="minorHAnsi" w:hAnsiTheme="minorHAnsi" w:cstheme="minorBidi"/>
          <w:kern w:val="2"/>
          <w:lang w:eastAsia="en-US"/>
          <w14:ligatures w14:val="standardContextual"/>
        </w:rPr>
      </w:pPr>
      <w:r w:rsidRPr="00AA79F5">
        <w:rPr>
          <w:rFonts w:asciiTheme="minorHAnsi" w:eastAsiaTheme="minorHAnsi" w:hAnsiTheme="minorHAnsi" w:cstheme="minorBidi"/>
          <w:kern w:val="2"/>
          <w:lang w:eastAsia="en-US"/>
          <w14:ligatures w14:val="standardContextual"/>
        </w:rPr>
        <w:t xml:space="preserve">Les dépenses de personnel ont progressé́ de </w:t>
      </w:r>
      <w:r w:rsidR="00610CC7">
        <w:rPr>
          <w:rFonts w:asciiTheme="minorHAnsi" w:eastAsiaTheme="minorHAnsi" w:hAnsiTheme="minorHAnsi" w:cstheme="minorBidi"/>
          <w:kern w:val="2"/>
          <w:lang w:eastAsia="en-US"/>
          <w14:ligatures w14:val="standardContextual"/>
        </w:rPr>
        <w:t>21 366</w:t>
      </w:r>
      <w:r w:rsidRPr="00AA79F5">
        <w:rPr>
          <w:rFonts w:asciiTheme="minorHAnsi" w:eastAsiaTheme="minorHAnsi" w:hAnsiTheme="minorHAnsi" w:cstheme="minorBidi"/>
          <w:kern w:val="2"/>
          <w:lang w:eastAsia="en-US"/>
          <w14:ligatures w14:val="standardContextual"/>
        </w:rPr>
        <w:t xml:space="preserve"> € entre 2022 et 2023 (+6,6%) </w:t>
      </w:r>
      <w:r>
        <w:rPr>
          <w:rFonts w:asciiTheme="minorHAnsi" w:eastAsiaTheme="minorHAnsi" w:hAnsiTheme="minorHAnsi" w:cstheme="minorBidi"/>
          <w:kern w:val="2"/>
          <w:lang w:eastAsia="en-US"/>
          <w14:ligatures w14:val="standardContextual"/>
        </w:rPr>
        <w:t>en raison notamment </w:t>
      </w:r>
      <w:r w:rsidR="00610CC7">
        <w:rPr>
          <w:rFonts w:asciiTheme="minorHAnsi" w:eastAsiaTheme="minorHAnsi" w:hAnsiTheme="minorHAnsi" w:cstheme="minorBidi"/>
          <w:kern w:val="2"/>
          <w:lang w:eastAsia="en-US"/>
          <w14:ligatures w14:val="standardContextual"/>
        </w:rPr>
        <w:t>de</w:t>
      </w:r>
      <w:r w:rsidR="000F514E">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w:t>
      </w:r>
    </w:p>
    <w:p w14:paraId="3286A886" w14:textId="3E13E3B1" w:rsidR="00AA79F5" w:rsidRPr="00AA79F5" w:rsidRDefault="00AA79F5" w:rsidP="00AA79F5">
      <w:pPr>
        <w:pStyle w:val="NormalWeb"/>
        <w:numPr>
          <w:ilvl w:val="0"/>
          <w:numId w:val="2"/>
        </w:numPr>
        <w:rPr>
          <w:rFonts w:asciiTheme="minorHAnsi" w:eastAsiaTheme="minorHAnsi" w:hAnsiTheme="minorHAnsi" w:cstheme="minorBidi"/>
          <w:kern w:val="2"/>
          <w:lang w:eastAsia="en-US"/>
          <w14:ligatures w14:val="standardContextual"/>
        </w:rPr>
      </w:pPr>
      <w:r w:rsidRPr="00AA79F5">
        <w:rPr>
          <w:rFonts w:asciiTheme="minorHAnsi" w:eastAsiaTheme="minorHAnsi" w:hAnsiTheme="minorHAnsi" w:cstheme="minorBidi"/>
          <w:kern w:val="2"/>
          <w:lang w:eastAsia="en-US"/>
          <w14:ligatures w14:val="standardContextual"/>
        </w:rPr>
        <w:t xml:space="preserve">Revalorisation du point d’indice au 1er juillet 2023 (impact sur l’ensemble des agents) </w:t>
      </w:r>
    </w:p>
    <w:p w14:paraId="47B717C8" w14:textId="698B30C0" w:rsidR="00AA79F5" w:rsidRPr="00610CC7" w:rsidRDefault="00AA79F5" w:rsidP="00610CC7">
      <w:pPr>
        <w:pStyle w:val="NormalWeb"/>
        <w:numPr>
          <w:ilvl w:val="0"/>
          <w:numId w:val="2"/>
        </w:numPr>
        <w:rPr>
          <w:rFonts w:asciiTheme="minorHAnsi" w:eastAsiaTheme="minorHAnsi" w:hAnsiTheme="minorHAnsi" w:cstheme="minorBidi"/>
          <w:kern w:val="2"/>
          <w:lang w:eastAsia="en-US"/>
          <w14:ligatures w14:val="standardContextual"/>
        </w:rPr>
      </w:pPr>
      <w:r w:rsidRPr="00AA79F5">
        <w:rPr>
          <w:rFonts w:asciiTheme="minorHAnsi" w:eastAsiaTheme="minorHAnsi" w:hAnsiTheme="minorHAnsi" w:cstheme="minorBidi"/>
          <w:kern w:val="2"/>
          <w:lang w:eastAsia="en-US"/>
          <w14:ligatures w14:val="standardContextual"/>
        </w:rPr>
        <w:t xml:space="preserve">Revalorisations successives du SMIC qui impactent les plus bas salaires des agents titulaires et non titulaires </w:t>
      </w:r>
      <w:r w:rsidRPr="00610CC7">
        <w:rPr>
          <w:rFonts w:asciiTheme="minorHAnsi" w:eastAsiaTheme="minorHAnsi" w:hAnsiTheme="minorHAnsi" w:cstheme="minorBidi"/>
          <w:kern w:val="2"/>
          <w:lang w:eastAsia="en-US"/>
          <w14:ligatures w14:val="standardContextual"/>
        </w:rPr>
        <w:t xml:space="preserve">(saisonniers, </w:t>
      </w:r>
      <w:r w:rsidR="00610CC7" w:rsidRPr="00610CC7">
        <w:rPr>
          <w:rFonts w:asciiTheme="minorHAnsi" w:eastAsiaTheme="minorHAnsi" w:hAnsiTheme="minorHAnsi" w:cstheme="minorBidi"/>
          <w:kern w:val="2"/>
          <w:lang w:eastAsia="en-US"/>
          <w14:ligatures w14:val="standardContextual"/>
        </w:rPr>
        <w:t>remplaçants</w:t>
      </w:r>
      <w:r w:rsidRPr="00610CC7">
        <w:rPr>
          <w:rFonts w:asciiTheme="minorHAnsi" w:eastAsiaTheme="minorHAnsi" w:hAnsiTheme="minorHAnsi" w:cstheme="minorBidi"/>
          <w:kern w:val="2"/>
          <w:lang w:eastAsia="en-US"/>
          <w14:ligatures w14:val="standardContextual"/>
        </w:rPr>
        <w:t xml:space="preserve">) </w:t>
      </w:r>
    </w:p>
    <w:p w14:paraId="5618270D" w14:textId="33FA2163" w:rsidR="00AA79F5" w:rsidRPr="00AA79F5" w:rsidRDefault="00AA79F5" w:rsidP="00AA79F5">
      <w:pPr>
        <w:pStyle w:val="NormalWeb"/>
        <w:numPr>
          <w:ilvl w:val="0"/>
          <w:numId w:val="2"/>
        </w:numPr>
        <w:rPr>
          <w:rFonts w:asciiTheme="minorHAnsi" w:eastAsiaTheme="minorHAnsi" w:hAnsiTheme="minorHAnsi" w:cstheme="minorBidi"/>
          <w:kern w:val="2"/>
          <w:lang w:eastAsia="en-US"/>
          <w14:ligatures w14:val="standardContextual"/>
        </w:rPr>
      </w:pPr>
      <w:r w:rsidRPr="00AA79F5">
        <w:rPr>
          <w:rFonts w:asciiTheme="minorHAnsi" w:eastAsiaTheme="minorHAnsi" w:hAnsiTheme="minorHAnsi" w:cstheme="minorBidi"/>
          <w:kern w:val="2"/>
          <w:lang w:eastAsia="en-US"/>
          <w14:ligatures w14:val="standardContextual"/>
        </w:rPr>
        <w:lastRenderedPageBreak/>
        <w:t xml:space="preserve">Glissement Vieillesse </w:t>
      </w:r>
      <w:r w:rsidR="00610CC7" w:rsidRPr="00AA79F5">
        <w:rPr>
          <w:rFonts w:asciiTheme="minorHAnsi" w:eastAsiaTheme="minorHAnsi" w:hAnsiTheme="minorHAnsi" w:cstheme="minorBidi"/>
          <w:kern w:val="2"/>
          <w:lang w:eastAsia="en-US"/>
          <w14:ligatures w14:val="standardContextual"/>
        </w:rPr>
        <w:t>Technicité</w:t>
      </w:r>
      <w:r w:rsidRPr="00AA79F5">
        <w:rPr>
          <w:rFonts w:asciiTheme="minorHAnsi" w:eastAsiaTheme="minorHAnsi" w:hAnsiTheme="minorHAnsi" w:cstheme="minorBidi"/>
          <w:kern w:val="2"/>
          <w:lang w:eastAsia="en-US"/>
          <w14:ligatures w14:val="standardContextual"/>
        </w:rPr>
        <w:t xml:space="preserve">́ (effet </w:t>
      </w:r>
      <w:r w:rsidR="00610CC7" w:rsidRPr="00AA79F5">
        <w:rPr>
          <w:rFonts w:asciiTheme="minorHAnsi" w:eastAsiaTheme="minorHAnsi" w:hAnsiTheme="minorHAnsi" w:cstheme="minorBidi"/>
          <w:kern w:val="2"/>
          <w:lang w:eastAsia="en-US"/>
          <w14:ligatures w14:val="standardContextual"/>
        </w:rPr>
        <w:t>mécanique</w:t>
      </w:r>
      <w:r w:rsidRPr="00AA79F5">
        <w:rPr>
          <w:rFonts w:asciiTheme="minorHAnsi" w:eastAsiaTheme="minorHAnsi" w:hAnsiTheme="minorHAnsi" w:cstheme="minorBidi"/>
          <w:kern w:val="2"/>
          <w:lang w:eastAsia="en-US"/>
          <w14:ligatures w14:val="standardContextual"/>
        </w:rPr>
        <w:t xml:space="preserve"> de l’</w:t>
      </w:r>
      <w:r w:rsidR="00610CC7" w:rsidRPr="00AA79F5">
        <w:rPr>
          <w:rFonts w:asciiTheme="minorHAnsi" w:eastAsiaTheme="minorHAnsi" w:hAnsiTheme="minorHAnsi" w:cstheme="minorBidi"/>
          <w:kern w:val="2"/>
          <w:lang w:eastAsia="en-US"/>
          <w14:ligatures w14:val="standardContextual"/>
        </w:rPr>
        <w:t>évolution</w:t>
      </w:r>
      <w:r w:rsidRPr="00AA79F5">
        <w:rPr>
          <w:rFonts w:asciiTheme="minorHAnsi" w:eastAsiaTheme="minorHAnsi" w:hAnsiTheme="minorHAnsi" w:cstheme="minorBidi"/>
          <w:kern w:val="2"/>
          <w:lang w:eastAsia="en-US"/>
          <w14:ligatures w14:val="standardContextual"/>
        </w:rPr>
        <w:t xml:space="preserve"> des </w:t>
      </w:r>
      <w:r w:rsidR="00610CC7" w:rsidRPr="00AA79F5">
        <w:rPr>
          <w:rFonts w:asciiTheme="minorHAnsi" w:eastAsiaTheme="minorHAnsi" w:hAnsiTheme="minorHAnsi" w:cstheme="minorBidi"/>
          <w:kern w:val="2"/>
          <w:lang w:eastAsia="en-US"/>
          <w14:ligatures w14:val="standardContextual"/>
        </w:rPr>
        <w:t>carrières</w:t>
      </w:r>
      <w:r w:rsidRPr="00AA79F5">
        <w:rPr>
          <w:rFonts w:asciiTheme="minorHAnsi" w:eastAsiaTheme="minorHAnsi" w:hAnsiTheme="minorHAnsi" w:cstheme="minorBidi"/>
          <w:kern w:val="2"/>
          <w:lang w:eastAsia="en-US"/>
          <w14:ligatures w14:val="standardContextual"/>
        </w:rPr>
        <w:t xml:space="preserve"> et des charges salariales) </w:t>
      </w:r>
    </w:p>
    <w:p w14:paraId="723C24D9" w14:textId="77777777" w:rsidR="009432D6" w:rsidRDefault="00AA79F5" w:rsidP="00610CC7">
      <w:pPr>
        <w:pStyle w:val="NormalWeb"/>
        <w:numPr>
          <w:ilvl w:val="0"/>
          <w:numId w:val="2"/>
        </w:numPr>
        <w:rPr>
          <w:rFonts w:asciiTheme="minorHAnsi" w:eastAsiaTheme="minorHAnsi" w:hAnsiTheme="minorHAnsi" w:cstheme="minorBidi"/>
          <w:kern w:val="2"/>
          <w:lang w:eastAsia="en-US"/>
          <w14:ligatures w14:val="standardContextual"/>
        </w:rPr>
      </w:pPr>
      <w:r w:rsidRPr="00AA79F5">
        <w:rPr>
          <w:rFonts w:asciiTheme="minorHAnsi" w:eastAsiaTheme="minorHAnsi" w:hAnsiTheme="minorHAnsi" w:cstheme="minorBidi"/>
          <w:kern w:val="2"/>
          <w:lang w:eastAsia="en-US"/>
          <w14:ligatures w14:val="standardContextual"/>
        </w:rPr>
        <w:t xml:space="preserve">Recours à des agents contractuels pour assurer le remplacement d’agents absents pour maladies </w:t>
      </w:r>
    </w:p>
    <w:p w14:paraId="598A5A07" w14:textId="39C9660D" w:rsidR="00675FB2" w:rsidRPr="00610CC7" w:rsidRDefault="009432D6" w:rsidP="009432D6">
      <w:pPr>
        <w:pStyle w:val="NormalWeb"/>
        <w:ind w:left="720"/>
        <w:rPr>
          <w:rFonts w:asciiTheme="minorHAnsi" w:eastAsiaTheme="minorHAnsi" w:hAnsiTheme="minorHAnsi" w:cstheme="minorBidi"/>
          <w:kern w:val="2"/>
          <w:lang w:eastAsia="en-US"/>
          <w14:ligatures w14:val="standardContextual"/>
        </w:rPr>
      </w:pPr>
      <w:r>
        <w:rPr>
          <w:noProof/>
        </w:rPr>
        <w:drawing>
          <wp:inline distT="0" distB="0" distL="0" distR="0" wp14:anchorId="283771B9" wp14:editId="10BF9481">
            <wp:extent cx="4572000" cy="2773680"/>
            <wp:effectExtent l="0" t="0" r="12700" b="7620"/>
            <wp:docPr id="245540044" name="Graphique 1">
              <a:extLst xmlns:a="http://schemas.openxmlformats.org/drawingml/2006/main">
                <a:ext uri="{FF2B5EF4-FFF2-40B4-BE49-F238E27FC236}">
                  <a16:creationId xmlns:a16="http://schemas.microsoft.com/office/drawing/2014/main" id="{E36080B3-A3F3-7713-9193-11782039B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8E9F8B" w14:textId="06ECD18A" w:rsidR="00AA79F5" w:rsidRDefault="00675FB2"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EFFECTIFS</w:t>
      </w:r>
    </w:p>
    <w:p w14:paraId="29BA490F" w14:textId="604AE3A9" w:rsidR="007C3487" w:rsidRDefault="007C3487" w:rsidP="007C3487">
      <w:pPr>
        <w:rPr>
          <w:rFonts w:ascii="Calibri" w:eastAsia="Times New Roman" w:hAnsi="Calibri" w:cs="Calibri"/>
          <w:color w:val="212121"/>
          <w:kern w:val="0"/>
          <w:sz w:val="22"/>
          <w:szCs w:val="22"/>
          <w:lang w:eastAsia="fr-FR"/>
          <w14:ligatures w14:val="none"/>
        </w:rPr>
      </w:pPr>
      <w:r w:rsidRPr="005A05A5">
        <w:rPr>
          <w:rFonts w:ascii="Calibri" w:eastAsia="Times New Roman" w:hAnsi="Calibri" w:cs="Calibri"/>
          <w:color w:val="212121"/>
          <w:kern w:val="0"/>
          <w:sz w:val="22"/>
          <w:szCs w:val="22"/>
          <w:lang w:eastAsia="fr-FR"/>
          <w14:ligatures w14:val="none"/>
        </w:rPr>
        <w:t> </w:t>
      </w:r>
      <w:r w:rsidR="002E2424">
        <w:rPr>
          <w:rFonts w:ascii="Calibri" w:eastAsia="Times New Roman" w:hAnsi="Calibri" w:cs="Calibri"/>
          <w:color w:val="212121"/>
          <w:kern w:val="0"/>
          <w:sz w:val="22"/>
          <w:szCs w:val="22"/>
          <w:lang w:eastAsia="fr-FR"/>
          <w14:ligatures w14:val="none"/>
        </w:rPr>
        <w:t xml:space="preserve">Hors création du poste </w:t>
      </w:r>
      <w:r w:rsidR="00903C9F">
        <w:rPr>
          <w:rFonts w:ascii="Calibri" w:eastAsia="Times New Roman" w:hAnsi="Calibri" w:cs="Calibri"/>
          <w:color w:val="212121"/>
          <w:kern w:val="0"/>
          <w:sz w:val="22"/>
          <w:szCs w:val="22"/>
          <w:lang w:eastAsia="fr-FR"/>
          <w14:ligatures w14:val="none"/>
        </w:rPr>
        <w:t xml:space="preserve">du chef </w:t>
      </w:r>
      <w:r w:rsidR="002E2424">
        <w:rPr>
          <w:rFonts w:ascii="Calibri" w:eastAsia="Times New Roman" w:hAnsi="Calibri" w:cs="Calibri"/>
          <w:color w:val="212121"/>
          <w:kern w:val="0"/>
          <w:sz w:val="22"/>
          <w:szCs w:val="22"/>
          <w:lang w:eastAsia="fr-FR"/>
          <w14:ligatures w14:val="none"/>
        </w:rPr>
        <w:t xml:space="preserve">de projet PVD </w:t>
      </w:r>
      <w:r w:rsidR="0093763F">
        <w:rPr>
          <w:rFonts w:ascii="Calibri" w:eastAsia="Times New Roman" w:hAnsi="Calibri" w:cs="Calibri"/>
          <w:color w:val="212121"/>
          <w:kern w:val="0"/>
          <w:sz w:val="22"/>
          <w:szCs w:val="22"/>
          <w:lang w:eastAsia="fr-FR"/>
          <w14:ligatures w14:val="none"/>
        </w:rPr>
        <w:t xml:space="preserve">en 2021 (financé à 75% par l’État), </w:t>
      </w:r>
      <w:r w:rsidR="002E2424">
        <w:rPr>
          <w:rFonts w:ascii="Calibri" w:eastAsia="Times New Roman" w:hAnsi="Calibri" w:cs="Calibri"/>
          <w:color w:val="212121"/>
          <w:kern w:val="0"/>
          <w:sz w:val="22"/>
          <w:szCs w:val="22"/>
          <w:lang w:eastAsia="fr-FR"/>
          <w14:ligatures w14:val="none"/>
        </w:rPr>
        <w:t>les effectifs communaux sont resté</w:t>
      </w:r>
      <w:r w:rsidR="000F514E">
        <w:rPr>
          <w:rFonts w:ascii="Calibri" w:eastAsia="Times New Roman" w:hAnsi="Calibri" w:cs="Calibri"/>
          <w:color w:val="212121"/>
          <w:kern w:val="0"/>
          <w:sz w:val="22"/>
          <w:szCs w:val="22"/>
          <w:lang w:eastAsia="fr-FR"/>
          <w14:ligatures w14:val="none"/>
        </w:rPr>
        <w:t>s</w:t>
      </w:r>
      <w:r w:rsidR="002E2424">
        <w:rPr>
          <w:rFonts w:ascii="Calibri" w:eastAsia="Times New Roman" w:hAnsi="Calibri" w:cs="Calibri"/>
          <w:color w:val="212121"/>
          <w:kern w:val="0"/>
          <w:sz w:val="22"/>
          <w:szCs w:val="22"/>
          <w:lang w:eastAsia="fr-FR"/>
          <w14:ligatures w14:val="none"/>
        </w:rPr>
        <w:t xml:space="preserve"> stables </w:t>
      </w:r>
    </w:p>
    <w:p w14:paraId="5D55683D" w14:textId="77777777" w:rsidR="002E2424" w:rsidRPr="005A05A5" w:rsidRDefault="002E2424" w:rsidP="007C3487">
      <w:pPr>
        <w:rPr>
          <w:rFonts w:ascii="Calibri" w:eastAsia="Times New Roman" w:hAnsi="Calibri" w:cs="Calibri"/>
          <w:color w:val="212121"/>
          <w:kern w:val="0"/>
          <w:sz w:val="22"/>
          <w:szCs w:val="22"/>
          <w:lang w:eastAsia="fr-FR"/>
          <w14:ligatures w14:val="none"/>
        </w:rPr>
      </w:pPr>
    </w:p>
    <w:p w14:paraId="4FA56CED" w14:textId="1801B2A1" w:rsidR="007C3487" w:rsidRPr="005A05A5" w:rsidRDefault="00D2696E" w:rsidP="007C3487">
      <w:pPr>
        <w:rPr>
          <w:rFonts w:ascii="Calibri" w:eastAsia="Times New Roman" w:hAnsi="Calibri" w:cs="Calibri"/>
          <w:color w:val="212121"/>
          <w:kern w:val="0"/>
          <w:sz w:val="22"/>
          <w:szCs w:val="22"/>
          <w:lang w:eastAsia="fr-FR"/>
          <w14:ligatures w14:val="none"/>
        </w:rPr>
      </w:pPr>
      <w:r w:rsidRPr="00D478F6">
        <w:rPr>
          <w:rFonts w:ascii="Calibri" w:eastAsia="Times New Roman" w:hAnsi="Calibri" w:cs="Calibri"/>
          <w:noProof/>
          <w:color w:val="212121"/>
          <w:kern w:val="0"/>
          <w:sz w:val="22"/>
          <w:szCs w:val="22"/>
          <w:lang w:eastAsia="fr-FR"/>
        </w:rPr>
      </w:r>
      <w:r w:rsidR="00D2696E" w:rsidRPr="00D478F6">
        <w:rPr>
          <w:rFonts w:ascii="Calibri" w:eastAsia="Times New Roman" w:hAnsi="Calibri" w:cs="Calibri"/>
          <w:noProof/>
          <w:color w:val="212121"/>
          <w:kern w:val="0"/>
          <w:sz w:val="22"/>
          <w:szCs w:val="22"/>
          <w:lang w:eastAsia="fr-FR"/>
        </w:rPr>
        <w:object w:dxaOrig="11920" w:dyaOrig="1980" w14:anchorId="142E9066">
          <v:shape id="_x0000_i1028" type="#_x0000_t75" alt="" style="width:516pt;height:86pt;mso-width-percent:0;mso-height-percent:0;mso-width-percent:0;mso-height-percent:0" o:ole="">
            <v:imagedata r:id="rId18" o:title=""/>
          </v:shape>
          <o:OLEObject Type="Embed" ProgID="Excel.SheetBinaryMacroEnabled.12" ShapeID="_x0000_i1028" DrawAspect="Content" ObjectID="_1773646085" r:id="rId19"/>
        </w:object>
      </w:r>
      <w:r w:rsidR="007C3487" w:rsidRPr="005A05A5">
        <w:rPr>
          <w:rFonts w:ascii="Calibri" w:eastAsia="Times New Roman" w:hAnsi="Calibri" w:cs="Calibri"/>
          <w:color w:val="212121"/>
          <w:kern w:val="0"/>
          <w:sz w:val="22"/>
          <w:szCs w:val="22"/>
          <w:lang w:eastAsia="fr-FR"/>
          <w14:ligatures w14:val="none"/>
        </w:rPr>
        <w:t> </w:t>
      </w:r>
    </w:p>
    <w:p w14:paraId="18509D89" w14:textId="77777777" w:rsidR="007C3487" w:rsidRDefault="007C3487" w:rsidP="007C3487">
      <w:pPr>
        <w:rPr>
          <w:rFonts w:ascii="Calibri" w:eastAsia="Times New Roman" w:hAnsi="Calibri" w:cs="Calibri"/>
          <w:color w:val="212121"/>
          <w:kern w:val="0"/>
          <w:sz w:val="22"/>
          <w:szCs w:val="22"/>
          <w:lang w:eastAsia="fr-FR"/>
          <w14:ligatures w14:val="none"/>
        </w:rPr>
      </w:pPr>
      <w:r w:rsidRPr="005A05A5">
        <w:rPr>
          <w:rFonts w:ascii="Calibri" w:eastAsia="Times New Roman" w:hAnsi="Calibri" w:cs="Calibri"/>
          <w:color w:val="212121"/>
          <w:kern w:val="0"/>
          <w:sz w:val="22"/>
          <w:szCs w:val="22"/>
          <w:lang w:eastAsia="fr-FR"/>
          <w14:ligatures w14:val="none"/>
        </w:rPr>
        <w:t> </w:t>
      </w:r>
    </w:p>
    <w:p w14:paraId="7B3774A8" w14:textId="5302EFDB" w:rsidR="00046815" w:rsidRPr="000F514E" w:rsidRDefault="00046815" w:rsidP="007C3487">
      <w:pPr>
        <w:rPr>
          <w:rFonts w:ascii="Calibri" w:eastAsia="Times New Roman" w:hAnsi="Calibri" w:cs="Calibri"/>
          <w:b/>
          <w:bCs/>
          <w:color w:val="212121"/>
          <w:kern w:val="0"/>
          <w:sz w:val="22"/>
          <w:szCs w:val="22"/>
          <w:lang w:eastAsia="fr-FR"/>
          <w14:ligatures w14:val="none"/>
        </w:rPr>
      </w:pPr>
      <w:r w:rsidRPr="000F514E">
        <w:rPr>
          <w:rFonts w:ascii="Calibri" w:eastAsia="Times New Roman" w:hAnsi="Calibri" w:cs="Calibri"/>
          <w:b/>
          <w:bCs/>
          <w:color w:val="212121"/>
          <w:kern w:val="0"/>
          <w:sz w:val="22"/>
          <w:szCs w:val="22"/>
          <w:lang w:eastAsia="fr-FR"/>
          <w14:ligatures w14:val="none"/>
        </w:rPr>
        <w:t>Prospective 2024/2027</w:t>
      </w:r>
    </w:p>
    <w:p w14:paraId="53183FD7" w14:textId="2B118851" w:rsidR="00046815" w:rsidRPr="00046815" w:rsidRDefault="00046815" w:rsidP="000F514E">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046815">
        <w:rPr>
          <w:rFonts w:asciiTheme="minorHAnsi" w:eastAsiaTheme="minorHAnsi" w:hAnsiTheme="minorHAnsi" w:cstheme="minorBidi"/>
          <w:kern w:val="2"/>
          <w:lang w:eastAsia="en-US"/>
          <w14:ligatures w14:val="standardContextual"/>
        </w:rPr>
        <w:t xml:space="preserve">Dans le cadre du budget 2024, la collectivité́ </w:t>
      </w:r>
      <w:r>
        <w:rPr>
          <w:rFonts w:asciiTheme="minorHAnsi" w:eastAsiaTheme="minorHAnsi" w:hAnsiTheme="minorHAnsi" w:cstheme="minorBidi"/>
          <w:kern w:val="2"/>
          <w:lang w:eastAsia="en-US"/>
          <w14:ligatures w14:val="standardContextual"/>
        </w:rPr>
        <w:t>devra intégrer</w:t>
      </w:r>
      <w:r w:rsidRPr="00046815">
        <w:rPr>
          <w:rFonts w:asciiTheme="minorHAnsi" w:eastAsiaTheme="minorHAnsi" w:hAnsiTheme="minorHAnsi" w:cstheme="minorBidi"/>
          <w:kern w:val="2"/>
          <w:lang w:eastAsia="en-US"/>
          <w14:ligatures w14:val="standardContextual"/>
        </w:rPr>
        <w:t xml:space="preserve"> l’impact de</w:t>
      </w:r>
      <w:r w:rsidR="000F514E">
        <w:rPr>
          <w:rFonts w:asciiTheme="minorHAnsi" w:eastAsiaTheme="minorHAnsi" w:hAnsiTheme="minorHAnsi" w:cstheme="minorBidi"/>
          <w:kern w:val="2"/>
          <w:lang w:eastAsia="en-US"/>
          <w14:ligatures w14:val="standardContextual"/>
        </w:rPr>
        <w:t>s</w:t>
      </w:r>
      <w:r w:rsidRPr="00046815">
        <w:rPr>
          <w:rFonts w:asciiTheme="minorHAnsi" w:eastAsiaTheme="minorHAnsi" w:hAnsiTheme="minorHAnsi" w:cstheme="minorBidi"/>
          <w:kern w:val="2"/>
          <w:lang w:eastAsia="en-US"/>
          <w14:ligatures w14:val="standardContextual"/>
        </w:rPr>
        <w:t xml:space="preserve"> mesures gouvernementales qui sont </w:t>
      </w:r>
      <w:r w:rsidR="00C7034D" w:rsidRPr="00046815">
        <w:rPr>
          <w:rFonts w:asciiTheme="minorHAnsi" w:eastAsiaTheme="minorHAnsi" w:hAnsiTheme="minorHAnsi" w:cstheme="minorBidi"/>
          <w:kern w:val="2"/>
          <w:lang w:eastAsia="en-US"/>
          <w14:ligatures w14:val="standardContextual"/>
        </w:rPr>
        <w:t>entrées</w:t>
      </w:r>
      <w:r w:rsidRPr="00046815">
        <w:rPr>
          <w:rFonts w:asciiTheme="minorHAnsi" w:eastAsiaTheme="minorHAnsi" w:hAnsiTheme="minorHAnsi" w:cstheme="minorBidi"/>
          <w:kern w:val="2"/>
          <w:lang w:eastAsia="en-US"/>
          <w14:ligatures w14:val="standardContextual"/>
        </w:rPr>
        <w:t xml:space="preserve"> en vigueur (</w:t>
      </w:r>
      <w:r w:rsidR="00903C9F">
        <w:rPr>
          <w:rFonts w:asciiTheme="minorHAnsi" w:eastAsiaTheme="minorHAnsi" w:hAnsiTheme="minorHAnsi" w:cstheme="minorBidi"/>
          <w:kern w:val="2"/>
          <w:lang w:eastAsia="en-US"/>
          <w14:ligatures w14:val="standardContextual"/>
        </w:rPr>
        <w:t>bonification de 5</w:t>
      </w:r>
      <w:r w:rsidRPr="00046815">
        <w:rPr>
          <w:rFonts w:asciiTheme="minorHAnsi" w:eastAsiaTheme="minorHAnsi" w:hAnsiTheme="minorHAnsi" w:cstheme="minorBidi"/>
          <w:kern w:val="2"/>
          <w:lang w:eastAsia="en-US"/>
          <w14:ligatures w14:val="standardContextual"/>
        </w:rPr>
        <w:t xml:space="preserve"> point</w:t>
      </w:r>
      <w:r w:rsidR="00903C9F">
        <w:rPr>
          <w:rFonts w:asciiTheme="minorHAnsi" w:eastAsiaTheme="minorHAnsi" w:hAnsiTheme="minorHAnsi" w:cstheme="minorBidi"/>
          <w:kern w:val="2"/>
          <w:lang w:eastAsia="en-US"/>
          <w14:ligatures w14:val="standardContextual"/>
        </w:rPr>
        <w:t>s</w:t>
      </w:r>
      <w:r w:rsidRPr="00046815">
        <w:rPr>
          <w:rFonts w:asciiTheme="minorHAnsi" w:eastAsiaTheme="minorHAnsi" w:hAnsiTheme="minorHAnsi" w:cstheme="minorBidi"/>
          <w:kern w:val="2"/>
          <w:lang w:eastAsia="en-US"/>
          <w14:ligatures w14:val="standardContextual"/>
        </w:rPr>
        <w:t xml:space="preserve"> d’indice au 1er janvier, hausse de cotisations, revalorisation du SMIC, ...). </w:t>
      </w:r>
    </w:p>
    <w:p w14:paraId="6455F8C4" w14:textId="1EA2F9B3" w:rsidR="00046815" w:rsidRPr="00046815" w:rsidRDefault="00046815" w:rsidP="00046815">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046815">
        <w:rPr>
          <w:rFonts w:asciiTheme="minorHAnsi" w:eastAsiaTheme="minorHAnsi" w:hAnsiTheme="minorHAnsi" w:cstheme="minorBidi"/>
          <w:kern w:val="2"/>
          <w:lang w:eastAsia="en-US"/>
          <w14:ligatures w14:val="standardContextual"/>
        </w:rPr>
        <w:t>Le poste de dépenses lié à l’assurance statutaire va subir une hausse significative à compter de 2024 en raison de la sinistralité́ constatée depuis 24 mois</w:t>
      </w:r>
      <w:r w:rsidR="00903C9F">
        <w:rPr>
          <w:rFonts w:asciiTheme="minorHAnsi" w:eastAsiaTheme="minorHAnsi" w:hAnsiTheme="minorHAnsi" w:cstheme="minorBidi"/>
          <w:kern w:val="2"/>
          <w:lang w:eastAsia="en-US"/>
          <w14:ligatures w14:val="standardContextual"/>
        </w:rPr>
        <w:t xml:space="preserve"> qui portera le </w:t>
      </w:r>
      <w:r w:rsidRPr="00046815">
        <w:rPr>
          <w:rFonts w:asciiTheme="minorHAnsi" w:eastAsiaTheme="minorHAnsi" w:hAnsiTheme="minorHAnsi" w:cstheme="minorBidi"/>
          <w:kern w:val="2"/>
          <w:lang w:eastAsia="en-US"/>
          <w14:ligatures w14:val="standardContextual"/>
        </w:rPr>
        <w:t xml:space="preserve">taux de cotisation </w:t>
      </w:r>
      <w:r w:rsidR="00903C9F" w:rsidRPr="00046815">
        <w:rPr>
          <w:rFonts w:asciiTheme="minorHAnsi" w:eastAsiaTheme="minorHAnsi" w:hAnsiTheme="minorHAnsi" w:cstheme="minorBidi"/>
          <w:kern w:val="2"/>
          <w:lang w:eastAsia="en-US"/>
          <w14:ligatures w14:val="standardContextual"/>
        </w:rPr>
        <w:t>de 5,</w:t>
      </w:r>
      <w:r w:rsidR="00903C9F">
        <w:rPr>
          <w:rFonts w:asciiTheme="minorHAnsi" w:eastAsiaTheme="minorHAnsi" w:hAnsiTheme="minorHAnsi" w:cstheme="minorBidi"/>
          <w:kern w:val="2"/>
          <w:lang w:eastAsia="en-US"/>
          <w14:ligatures w14:val="standardContextual"/>
        </w:rPr>
        <w:t>50</w:t>
      </w:r>
      <w:r w:rsidR="00903C9F" w:rsidRPr="00046815">
        <w:rPr>
          <w:rFonts w:asciiTheme="minorHAnsi" w:eastAsiaTheme="minorHAnsi" w:hAnsiTheme="minorHAnsi" w:cstheme="minorBidi"/>
          <w:kern w:val="2"/>
          <w:lang w:eastAsia="en-US"/>
          <w14:ligatures w14:val="standardContextual"/>
        </w:rPr>
        <w:t xml:space="preserve">% à </w:t>
      </w:r>
      <w:r w:rsidR="00903C9F">
        <w:rPr>
          <w:rFonts w:asciiTheme="minorHAnsi" w:eastAsiaTheme="minorHAnsi" w:hAnsiTheme="minorHAnsi" w:cstheme="minorBidi"/>
          <w:kern w:val="2"/>
          <w:lang w:eastAsia="en-US"/>
          <w14:ligatures w14:val="standardContextual"/>
        </w:rPr>
        <w:t>6,03</w:t>
      </w:r>
      <w:r w:rsidR="00903C9F" w:rsidRPr="00046815">
        <w:rPr>
          <w:rFonts w:asciiTheme="minorHAnsi" w:eastAsiaTheme="minorHAnsi" w:hAnsiTheme="minorHAnsi" w:cstheme="minorBidi"/>
          <w:kern w:val="2"/>
          <w:lang w:eastAsia="en-US"/>
          <w14:ligatures w14:val="standardContextual"/>
        </w:rPr>
        <w:t>%.</w:t>
      </w:r>
      <w:r w:rsidRPr="00046815">
        <w:rPr>
          <w:rFonts w:asciiTheme="minorHAnsi" w:eastAsiaTheme="minorHAnsi" w:hAnsiTheme="minorHAnsi" w:cstheme="minorBidi"/>
          <w:kern w:val="2"/>
          <w:lang w:eastAsia="en-US"/>
          <w14:ligatures w14:val="standardContextual"/>
        </w:rPr>
        <w:t xml:space="preserve"> A personnel constant, les leviers de maitrise de ce poste de dépenses </w:t>
      </w:r>
      <w:r>
        <w:rPr>
          <w:rFonts w:asciiTheme="minorHAnsi" w:eastAsiaTheme="minorHAnsi" w:hAnsiTheme="minorHAnsi" w:cstheme="minorBidi"/>
          <w:kern w:val="2"/>
          <w:lang w:eastAsia="en-US"/>
          <w14:ligatures w14:val="standardContextual"/>
        </w:rPr>
        <w:t>sont limités.</w:t>
      </w:r>
    </w:p>
    <w:p w14:paraId="513552FD" w14:textId="28DBB6B6" w:rsidR="00046815" w:rsidRPr="00046815" w:rsidRDefault="00046815" w:rsidP="00046815">
      <w:pPr>
        <w:pStyle w:val="NormalWeb"/>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Il</w:t>
      </w:r>
      <w:r w:rsidRPr="00046815">
        <w:rPr>
          <w:rFonts w:asciiTheme="minorHAnsi" w:eastAsiaTheme="minorHAnsi" w:hAnsiTheme="minorHAnsi" w:cstheme="minorBidi"/>
          <w:kern w:val="2"/>
          <w:lang w:eastAsia="en-US"/>
          <w14:ligatures w14:val="standardContextual"/>
        </w:rPr>
        <w:t xml:space="preserve"> n’est pas prévu de renforcer les services </w:t>
      </w:r>
      <w:r>
        <w:rPr>
          <w:rFonts w:asciiTheme="minorHAnsi" w:eastAsiaTheme="minorHAnsi" w:hAnsiTheme="minorHAnsi" w:cstheme="minorBidi"/>
          <w:kern w:val="2"/>
          <w:lang w:eastAsia="en-US"/>
          <w14:ligatures w14:val="standardContextual"/>
        </w:rPr>
        <w:t>pour les années à venir.</w:t>
      </w:r>
      <w:r w:rsidRPr="00046815">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 xml:space="preserve">Seules les dérives mécaniques conduiront à faire </w:t>
      </w:r>
      <w:r w:rsidR="004E0C3B">
        <w:rPr>
          <w:rFonts w:asciiTheme="minorHAnsi" w:eastAsiaTheme="minorHAnsi" w:hAnsiTheme="minorHAnsi" w:cstheme="minorBidi"/>
          <w:kern w:val="2"/>
          <w:lang w:eastAsia="en-US"/>
          <w14:ligatures w14:val="standardContextual"/>
        </w:rPr>
        <w:t xml:space="preserve">progresser ce budget </w:t>
      </w:r>
      <w:r w:rsidRPr="00046815">
        <w:rPr>
          <w:rFonts w:asciiTheme="minorHAnsi" w:eastAsiaTheme="minorHAnsi" w:hAnsiTheme="minorHAnsi" w:cstheme="minorBidi"/>
          <w:kern w:val="2"/>
          <w:lang w:eastAsia="en-US"/>
          <w14:ligatures w14:val="standardContextual"/>
        </w:rPr>
        <w:t xml:space="preserve">(GVT, hausse de cotisations, revalorisation de l’assurance statutaire, </w:t>
      </w:r>
      <w:r w:rsidR="00903C9F" w:rsidRPr="00046815">
        <w:rPr>
          <w:rFonts w:asciiTheme="minorHAnsi" w:eastAsiaTheme="minorHAnsi" w:hAnsiTheme="minorHAnsi" w:cstheme="minorBidi"/>
          <w:kern w:val="2"/>
          <w:lang w:eastAsia="en-US"/>
          <w14:ligatures w14:val="standardContextual"/>
        </w:rPr>
        <w:t>etc.…</w:t>
      </w:r>
      <w:r w:rsidRPr="00046815">
        <w:rPr>
          <w:rFonts w:asciiTheme="minorHAnsi" w:eastAsiaTheme="minorHAnsi" w:hAnsiTheme="minorHAnsi" w:cstheme="minorBidi"/>
          <w:kern w:val="2"/>
          <w:lang w:eastAsia="en-US"/>
          <w14:ligatures w14:val="standardContextual"/>
        </w:rPr>
        <w:t xml:space="preserve">). </w:t>
      </w:r>
    </w:p>
    <w:p w14:paraId="20186626" w14:textId="1370A27F" w:rsidR="00675FB2" w:rsidRPr="00FB36FA" w:rsidRDefault="004E0C3B" w:rsidP="00091F9E">
      <w:pPr>
        <w:pStyle w:val="NormalWeb"/>
        <w:spacing w:before="120" w:beforeAutospacing="0" w:after="0" w:afterAutospacing="0"/>
        <w:rPr>
          <w:rFonts w:asciiTheme="minorHAnsi" w:eastAsiaTheme="minorHAnsi" w:hAnsiTheme="minorHAnsi" w:cstheme="minorBidi"/>
          <w:b/>
          <w:bCs/>
          <w:kern w:val="2"/>
          <w:lang w:eastAsia="en-US"/>
          <w14:ligatures w14:val="standardContextual"/>
        </w:rPr>
      </w:pPr>
      <w:r w:rsidRPr="00FB36FA">
        <w:rPr>
          <w:rFonts w:asciiTheme="minorHAnsi" w:eastAsiaTheme="minorHAnsi" w:hAnsiTheme="minorHAnsi" w:cstheme="minorBidi"/>
          <w:b/>
          <w:bCs/>
          <w:kern w:val="2"/>
          <w:lang w:eastAsia="en-US"/>
          <w14:ligatures w14:val="standardContextual"/>
        </w:rPr>
        <w:t>INDICATEURS FINANCIERS</w:t>
      </w:r>
    </w:p>
    <w:p w14:paraId="61247F9B" w14:textId="14967005" w:rsidR="004E0C3B" w:rsidRPr="00FB36FA" w:rsidRDefault="00F81575" w:rsidP="0093763F">
      <w:pPr>
        <w:pStyle w:val="NormalWeb"/>
        <w:spacing w:before="60" w:beforeAutospacing="0" w:after="0" w:afterAutospacing="0"/>
        <w:rPr>
          <w:rFonts w:asciiTheme="minorHAnsi" w:eastAsiaTheme="minorHAnsi" w:hAnsiTheme="minorHAnsi" w:cstheme="minorBidi"/>
          <w:b/>
          <w:bCs/>
          <w:kern w:val="2"/>
          <w:lang w:eastAsia="en-US"/>
          <w14:ligatures w14:val="standardContextual"/>
        </w:rPr>
      </w:pPr>
      <w:r w:rsidRPr="00FB36FA">
        <w:rPr>
          <w:rFonts w:asciiTheme="minorHAnsi" w:eastAsiaTheme="minorHAnsi" w:hAnsiTheme="minorHAnsi" w:cstheme="minorBidi"/>
          <w:b/>
          <w:bCs/>
          <w:kern w:val="2"/>
          <w:lang w:eastAsia="en-US"/>
          <w14:ligatures w14:val="standardContextual"/>
        </w:rPr>
        <w:t>Soldes intermédiaires de gestion</w:t>
      </w:r>
    </w:p>
    <w:p w14:paraId="229493D3" w14:textId="69155F9A" w:rsidR="00F81575" w:rsidRPr="00F81575" w:rsidRDefault="00F81575" w:rsidP="00FB36FA">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F81575">
        <w:rPr>
          <w:rFonts w:asciiTheme="minorHAnsi" w:eastAsiaTheme="minorHAnsi" w:hAnsiTheme="minorHAnsi" w:cstheme="minorBidi"/>
          <w:kern w:val="2"/>
          <w:lang w:eastAsia="en-US"/>
          <w14:ligatures w14:val="standardContextual"/>
        </w:rPr>
        <w:t xml:space="preserve">Les soldes intermédiaires de gestion sont des indicateurs permettant d'analyser le niveau de richesse de la collectivité́. Certaines données budgétaires sont retirées, comme par exemple, les opérations d’ordre (sans flux financier) ou les cessions d'immobilisations (recette exceptionnelle). </w:t>
      </w:r>
    </w:p>
    <w:p w14:paraId="138E6CC4" w14:textId="2A998891" w:rsidR="00F81575" w:rsidRPr="00F81575" w:rsidRDefault="00F81575" w:rsidP="00FB36FA">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sidRPr="00F81575">
        <w:rPr>
          <w:rFonts w:asciiTheme="minorHAnsi" w:eastAsiaTheme="minorHAnsi" w:hAnsiTheme="minorHAnsi" w:cstheme="minorBidi"/>
          <w:kern w:val="2"/>
          <w:lang w:eastAsia="en-US"/>
          <w14:ligatures w14:val="standardContextual"/>
        </w:rPr>
        <w:t>EPARGNE DE GESTION</w:t>
      </w:r>
      <w:r w:rsidRPr="00F81575">
        <w:rPr>
          <w:rFonts w:asciiTheme="minorHAnsi" w:eastAsiaTheme="minorHAnsi" w:hAnsiTheme="minorHAnsi" w:cstheme="minorBidi"/>
          <w:kern w:val="2"/>
          <w:lang w:eastAsia="en-US"/>
          <w14:ligatures w14:val="standardContextual"/>
        </w:rPr>
        <w:br/>
      </w:r>
      <w:r w:rsidR="00605326" w:rsidRPr="00F81575">
        <w:rPr>
          <w:rFonts w:asciiTheme="minorHAnsi" w:eastAsiaTheme="minorHAnsi" w:hAnsiTheme="minorHAnsi" w:cstheme="minorBidi"/>
          <w:kern w:val="2"/>
          <w:lang w:eastAsia="en-US"/>
          <w14:ligatures w14:val="standardContextual"/>
        </w:rPr>
        <w:t>Différence</w:t>
      </w:r>
      <w:r w:rsidRPr="00F81575">
        <w:rPr>
          <w:rFonts w:asciiTheme="minorHAnsi" w:eastAsiaTheme="minorHAnsi" w:hAnsiTheme="minorHAnsi" w:cstheme="minorBidi"/>
          <w:kern w:val="2"/>
          <w:lang w:eastAsia="en-US"/>
          <w14:ligatures w14:val="standardContextual"/>
        </w:rPr>
        <w:t xml:space="preserve"> entre les recettes </w:t>
      </w:r>
      <w:r w:rsidR="00605326" w:rsidRPr="00F81575">
        <w:rPr>
          <w:rFonts w:asciiTheme="minorHAnsi" w:eastAsiaTheme="minorHAnsi" w:hAnsiTheme="minorHAnsi" w:cstheme="minorBidi"/>
          <w:kern w:val="2"/>
          <w:lang w:eastAsia="en-US"/>
          <w14:ligatures w14:val="standardContextual"/>
        </w:rPr>
        <w:t>réelles</w:t>
      </w:r>
      <w:r w:rsidRPr="00F81575">
        <w:rPr>
          <w:rFonts w:asciiTheme="minorHAnsi" w:eastAsiaTheme="minorHAnsi" w:hAnsiTheme="minorHAnsi" w:cstheme="minorBidi"/>
          <w:kern w:val="2"/>
          <w:lang w:eastAsia="en-US"/>
          <w14:ligatures w14:val="standardContextual"/>
        </w:rPr>
        <w:t xml:space="preserve"> et les </w:t>
      </w:r>
      <w:r w:rsidR="00605326" w:rsidRPr="00F81575">
        <w:rPr>
          <w:rFonts w:asciiTheme="minorHAnsi" w:eastAsiaTheme="minorHAnsi" w:hAnsiTheme="minorHAnsi" w:cstheme="minorBidi"/>
          <w:kern w:val="2"/>
          <w:lang w:eastAsia="en-US"/>
          <w14:ligatures w14:val="standardContextual"/>
        </w:rPr>
        <w:t>dépenses</w:t>
      </w:r>
      <w:r w:rsidRPr="00F81575">
        <w:rPr>
          <w:rFonts w:asciiTheme="minorHAnsi" w:eastAsiaTheme="minorHAnsi" w:hAnsiTheme="minorHAnsi" w:cstheme="minorBidi"/>
          <w:kern w:val="2"/>
          <w:lang w:eastAsia="en-US"/>
          <w14:ligatures w14:val="standardContextual"/>
        </w:rPr>
        <w:t xml:space="preserve"> </w:t>
      </w:r>
      <w:r w:rsidR="00605326" w:rsidRPr="00F81575">
        <w:rPr>
          <w:rFonts w:asciiTheme="minorHAnsi" w:eastAsiaTheme="minorHAnsi" w:hAnsiTheme="minorHAnsi" w:cstheme="minorBidi"/>
          <w:kern w:val="2"/>
          <w:lang w:eastAsia="en-US"/>
          <w14:ligatures w14:val="standardContextual"/>
        </w:rPr>
        <w:t>réelles</w:t>
      </w:r>
      <w:r w:rsidRPr="00F81575">
        <w:rPr>
          <w:rFonts w:asciiTheme="minorHAnsi" w:eastAsiaTheme="minorHAnsi" w:hAnsiTheme="minorHAnsi" w:cstheme="minorBidi"/>
          <w:kern w:val="2"/>
          <w:lang w:eastAsia="en-US"/>
          <w14:ligatures w14:val="standardContextual"/>
        </w:rPr>
        <w:t xml:space="preserve"> de fonctionnement hors </w:t>
      </w:r>
      <w:r w:rsidR="00605326" w:rsidRPr="00F81575">
        <w:rPr>
          <w:rFonts w:asciiTheme="minorHAnsi" w:eastAsiaTheme="minorHAnsi" w:hAnsiTheme="minorHAnsi" w:cstheme="minorBidi"/>
          <w:kern w:val="2"/>
          <w:lang w:eastAsia="en-US"/>
          <w14:ligatures w14:val="standardContextual"/>
        </w:rPr>
        <w:t>intérêts</w:t>
      </w:r>
      <w:r w:rsidRPr="00F81575">
        <w:rPr>
          <w:rFonts w:asciiTheme="minorHAnsi" w:eastAsiaTheme="minorHAnsi" w:hAnsiTheme="minorHAnsi" w:cstheme="minorBidi"/>
          <w:kern w:val="2"/>
          <w:lang w:eastAsia="en-US"/>
          <w14:ligatures w14:val="standardContextual"/>
        </w:rPr>
        <w:t xml:space="preserve"> de la dette et travaux en </w:t>
      </w:r>
      <w:r w:rsidR="00605326" w:rsidRPr="00F81575">
        <w:rPr>
          <w:rFonts w:asciiTheme="minorHAnsi" w:eastAsiaTheme="minorHAnsi" w:hAnsiTheme="minorHAnsi" w:cstheme="minorBidi"/>
          <w:kern w:val="2"/>
          <w:lang w:eastAsia="en-US"/>
          <w14:ligatures w14:val="standardContextual"/>
        </w:rPr>
        <w:t>régie</w:t>
      </w:r>
      <w:r w:rsidRPr="00F81575">
        <w:rPr>
          <w:rFonts w:asciiTheme="minorHAnsi" w:eastAsiaTheme="minorHAnsi" w:hAnsiTheme="minorHAnsi" w:cstheme="minorBidi"/>
          <w:kern w:val="2"/>
          <w:lang w:eastAsia="en-US"/>
          <w14:ligatures w14:val="standardContextual"/>
        </w:rPr>
        <w:t>, cet indicateur mesure l'</w:t>
      </w:r>
      <w:r w:rsidR="00605326" w:rsidRPr="00F81575">
        <w:rPr>
          <w:rFonts w:asciiTheme="minorHAnsi" w:eastAsiaTheme="minorHAnsi" w:hAnsiTheme="minorHAnsi" w:cstheme="minorBidi"/>
          <w:kern w:val="2"/>
          <w:lang w:eastAsia="en-US"/>
          <w14:ligatures w14:val="standardContextual"/>
        </w:rPr>
        <w:t>épargne</w:t>
      </w:r>
      <w:r w:rsidRPr="00F81575">
        <w:rPr>
          <w:rFonts w:asciiTheme="minorHAnsi" w:eastAsiaTheme="minorHAnsi" w:hAnsiTheme="minorHAnsi" w:cstheme="minorBidi"/>
          <w:kern w:val="2"/>
          <w:lang w:eastAsia="en-US"/>
          <w14:ligatures w14:val="standardContextual"/>
        </w:rPr>
        <w:t xml:space="preserve"> </w:t>
      </w:r>
      <w:r w:rsidR="00605326" w:rsidRPr="00F81575">
        <w:rPr>
          <w:rFonts w:asciiTheme="minorHAnsi" w:eastAsiaTheme="minorHAnsi" w:hAnsiTheme="minorHAnsi" w:cstheme="minorBidi"/>
          <w:kern w:val="2"/>
          <w:lang w:eastAsia="en-US"/>
          <w14:ligatures w14:val="standardContextual"/>
        </w:rPr>
        <w:t>dégagée</w:t>
      </w:r>
      <w:r w:rsidRPr="00F81575">
        <w:rPr>
          <w:rFonts w:asciiTheme="minorHAnsi" w:eastAsiaTheme="minorHAnsi" w:hAnsiTheme="minorHAnsi" w:cstheme="minorBidi"/>
          <w:kern w:val="2"/>
          <w:lang w:eastAsia="en-US"/>
          <w14:ligatures w14:val="standardContextual"/>
        </w:rPr>
        <w:t xml:space="preserve"> dans la gestion courante hors frais financiers. </w:t>
      </w:r>
    </w:p>
    <w:p w14:paraId="180DA059" w14:textId="37F563C2" w:rsidR="002E10B4" w:rsidRPr="00F81575" w:rsidRDefault="00F81575" w:rsidP="00F81575">
      <w:pPr>
        <w:pStyle w:val="NormalWeb"/>
        <w:rPr>
          <w:rFonts w:asciiTheme="minorHAnsi" w:eastAsiaTheme="minorHAnsi" w:hAnsiTheme="minorHAnsi" w:cstheme="minorBidi"/>
          <w:kern w:val="2"/>
          <w:lang w:eastAsia="en-US"/>
          <w14:ligatures w14:val="standardContextual"/>
        </w:rPr>
      </w:pPr>
      <w:r w:rsidRPr="00F81575">
        <w:rPr>
          <w:rFonts w:asciiTheme="minorHAnsi" w:eastAsiaTheme="minorHAnsi" w:hAnsiTheme="minorHAnsi" w:cstheme="minorBidi"/>
          <w:kern w:val="2"/>
          <w:lang w:eastAsia="en-US"/>
          <w14:ligatures w14:val="standardContextual"/>
        </w:rPr>
        <w:lastRenderedPageBreak/>
        <w:t>L’exercice 2023 est marqué par une progression des recettes de fonctionnement (+</w:t>
      </w:r>
      <w:r w:rsidR="00C7034D">
        <w:rPr>
          <w:rFonts w:asciiTheme="minorHAnsi" w:eastAsiaTheme="minorHAnsi" w:hAnsiTheme="minorHAnsi" w:cstheme="minorBidi"/>
          <w:kern w:val="2"/>
          <w:lang w:eastAsia="en-US"/>
          <w14:ligatures w14:val="standardContextual"/>
        </w:rPr>
        <w:t>133</w:t>
      </w:r>
      <w:r w:rsidR="00235020">
        <w:rPr>
          <w:rFonts w:asciiTheme="minorHAnsi" w:eastAsiaTheme="minorHAnsi" w:hAnsiTheme="minorHAnsi" w:cstheme="minorBidi"/>
          <w:kern w:val="2"/>
          <w:lang w:eastAsia="en-US"/>
          <w14:ligatures w14:val="standardContextual"/>
        </w:rPr>
        <w:t xml:space="preserve"> 836</w:t>
      </w:r>
      <w:r w:rsidR="00235020" w:rsidRPr="00F81575">
        <w:rPr>
          <w:rFonts w:asciiTheme="minorHAnsi" w:eastAsiaTheme="minorHAnsi" w:hAnsiTheme="minorHAnsi" w:cstheme="minorBidi"/>
          <w:kern w:val="2"/>
          <w:lang w:eastAsia="en-US"/>
          <w14:ligatures w14:val="standardContextual"/>
        </w:rPr>
        <w:t xml:space="preserve"> </w:t>
      </w:r>
      <w:r w:rsidRPr="00F81575">
        <w:rPr>
          <w:rFonts w:asciiTheme="minorHAnsi" w:eastAsiaTheme="minorHAnsi" w:hAnsiTheme="minorHAnsi" w:cstheme="minorBidi"/>
          <w:kern w:val="2"/>
          <w:lang w:eastAsia="en-US"/>
          <w14:ligatures w14:val="standardContextual"/>
        </w:rPr>
        <w:t xml:space="preserve">€) </w:t>
      </w:r>
      <w:r w:rsidR="00605326" w:rsidRPr="00F81575">
        <w:rPr>
          <w:rFonts w:asciiTheme="minorHAnsi" w:eastAsiaTheme="minorHAnsi" w:hAnsiTheme="minorHAnsi" w:cstheme="minorBidi"/>
          <w:kern w:val="2"/>
          <w:lang w:eastAsia="en-US"/>
          <w14:ligatures w14:val="standardContextual"/>
        </w:rPr>
        <w:t>supérieure</w:t>
      </w:r>
      <w:r w:rsidRPr="00F81575">
        <w:rPr>
          <w:rFonts w:asciiTheme="minorHAnsi" w:eastAsiaTheme="minorHAnsi" w:hAnsiTheme="minorHAnsi" w:cstheme="minorBidi"/>
          <w:kern w:val="2"/>
          <w:lang w:eastAsia="en-US"/>
          <w14:ligatures w14:val="standardContextual"/>
        </w:rPr>
        <w:t xml:space="preserve"> </w:t>
      </w:r>
      <w:proofErr w:type="spellStart"/>
      <w:r w:rsidRPr="00F81575">
        <w:rPr>
          <w:rFonts w:asciiTheme="minorHAnsi" w:eastAsiaTheme="minorHAnsi" w:hAnsiTheme="minorHAnsi" w:cstheme="minorBidi"/>
          <w:kern w:val="2"/>
          <w:lang w:eastAsia="en-US"/>
          <w14:ligatures w14:val="standardContextual"/>
        </w:rPr>
        <w:t>a</w:t>
      </w:r>
      <w:proofErr w:type="spellEnd"/>
      <w:r w:rsidRPr="00F81575">
        <w:rPr>
          <w:rFonts w:asciiTheme="minorHAnsi" w:eastAsiaTheme="minorHAnsi" w:hAnsiTheme="minorHAnsi" w:cstheme="minorBidi"/>
          <w:kern w:val="2"/>
          <w:lang w:eastAsia="en-US"/>
          <w14:ligatures w14:val="standardContextual"/>
        </w:rPr>
        <w:t xml:space="preserve">̀ celle des charges </w:t>
      </w:r>
      <w:r w:rsidR="00732D05">
        <w:rPr>
          <w:rFonts w:asciiTheme="minorHAnsi" w:eastAsiaTheme="minorHAnsi" w:hAnsiTheme="minorHAnsi" w:cstheme="minorBidi"/>
          <w:kern w:val="2"/>
          <w:lang w:eastAsia="en-US"/>
          <w14:ligatures w14:val="standardContextual"/>
        </w:rPr>
        <w:t>qui sont restées stables</w:t>
      </w:r>
      <w:r w:rsidRPr="00F81575">
        <w:rPr>
          <w:rFonts w:asciiTheme="minorHAnsi" w:eastAsiaTheme="minorHAnsi" w:hAnsiTheme="minorHAnsi" w:cstheme="minorBidi"/>
          <w:kern w:val="2"/>
          <w:lang w:eastAsia="en-US"/>
          <w14:ligatures w14:val="standardContextual"/>
        </w:rPr>
        <w:t>.</w:t>
      </w:r>
      <w:r w:rsidR="0093763F" w:rsidRPr="0093763F">
        <w:rPr>
          <w:rFonts w:asciiTheme="minorHAnsi" w:eastAsiaTheme="minorHAnsi" w:hAnsiTheme="minorHAnsi" w:cstheme="minorBidi"/>
          <w:kern w:val="2"/>
          <w:lang w:eastAsia="en-US"/>
          <w14:ligatures w14:val="standardContextual"/>
        </w:rPr>
        <w:t xml:space="preserve"> </w:t>
      </w:r>
      <w:r w:rsidR="00D2696E" w:rsidRPr="0067744E">
        <w:rPr>
          <w:rFonts w:asciiTheme="minorHAnsi" w:eastAsiaTheme="minorHAnsi" w:hAnsiTheme="minorHAnsi" w:cstheme="minorBidi"/>
          <w:noProof/>
          <w:kern w:val="2"/>
          <w:lang w:eastAsia="en-US"/>
          <w14:ligatures w14:val="standardContextual"/>
        </w:rPr>
      </w:r>
      <w:r w:rsidR="00D2696E" w:rsidRPr="0067744E">
        <w:rPr>
          <w:rFonts w:asciiTheme="minorHAnsi" w:eastAsiaTheme="minorHAnsi" w:hAnsiTheme="minorHAnsi" w:cstheme="minorBidi"/>
          <w:noProof/>
          <w:kern w:val="2"/>
          <w:lang w:eastAsia="en-US"/>
          <w14:ligatures w14:val="standardContextual"/>
        </w:rPr>
        <w:object w:dxaOrig="14180" w:dyaOrig="2180" w14:anchorId="5F193EB7">
          <v:shape id="_x0000_i1029" type="#_x0000_t75" alt="" style="width:523pt;height:80pt;mso-width-percent:0;mso-height-percent:0;mso-width-percent:0;mso-height-percent:0" o:ole="">
            <v:imagedata r:id="rId20" o:title=""/>
          </v:shape>
          <o:OLEObject Type="Embed" ProgID="Excel.Sheet.12" ShapeID="_x0000_i1029" DrawAspect="Content" ObjectID="_1773646086" r:id="rId21"/>
        </w:object>
      </w:r>
    </w:p>
    <w:p w14:paraId="384DEC41" w14:textId="49ED11DD" w:rsidR="00F81575" w:rsidRDefault="00732D05"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L’année 2023 marque une inversion de la tendance de l’épargne de gestion qui progresse par rapport aux années précédentes.</w:t>
      </w:r>
    </w:p>
    <w:p w14:paraId="0BCE5F1D" w14:textId="275B15CD" w:rsidR="00732D05" w:rsidRDefault="00732D05"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EPARGNE BRUTE</w:t>
      </w:r>
    </w:p>
    <w:p w14:paraId="550D970D" w14:textId="77777777" w:rsidR="00FB36FA" w:rsidRDefault="00732D05" w:rsidP="00FB36FA">
      <w:pPr>
        <w:pStyle w:val="NormalWeb"/>
        <w:spacing w:before="6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D</w:t>
      </w:r>
      <w:r w:rsidRPr="00732D05">
        <w:rPr>
          <w:rFonts w:asciiTheme="minorHAnsi" w:eastAsiaTheme="minorHAnsi" w:hAnsiTheme="minorHAnsi" w:cstheme="minorBidi"/>
          <w:kern w:val="2"/>
          <w:lang w:eastAsia="en-US"/>
          <w14:ligatures w14:val="standardContextual"/>
        </w:rPr>
        <w:t>ifférence entre les recettes et les dépenses de fonctionnement déduction faite des intérêts de la dette et des travaux en régie, l'épargne brute représente le socle de la richesse financière.</w:t>
      </w:r>
    </w:p>
    <w:p w14:paraId="4E41CAE7" w14:textId="54261C04" w:rsidR="00732D05" w:rsidRPr="00732D05" w:rsidRDefault="00732D05" w:rsidP="00FB36FA">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732D05">
        <w:rPr>
          <w:rFonts w:asciiTheme="minorHAnsi" w:eastAsiaTheme="minorHAnsi" w:hAnsiTheme="minorHAnsi" w:cstheme="minorBidi"/>
          <w:kern w:val="2"/>
          <w:lang w:eastAsia="en-US"/>
          <w14:ligatures w14:val="standardContextual"/>
        </w:rPr>
        <w:t xml:space="preserve">Il s’agit de l’autofinancement brut qui sert </w:t>
      </w:r>
      <w:proofErr w:type="spellStart"/>
      <w:r w:rsidRPr="00732D05">
        <w:rPr>
          <w:rFonts w:asciiTheme="minorHAnsi" w:eastAsiaTheme="minorHAnsi" w:hAnsiTheme="minorHAnsi" w:cstheme="minorBidi"/>
          <w:kern w:val="2"/>
          <w:lang w:eastAsia="en-US"/>
          <w14:ligatures w14:val="standardContextual"/>
        </w:rPr>
        <w:t>a</w:t>
      </w:r>
      <w:proofErr w:type="spellEnd"/>
      <w:r w:rsidRPr="00732D05">
        <w:rPr>
          <w:rFonts w:asciiTheme="minorHAnsi" w:eastAsiaTheme="minorHAnsi" w:hAnsiTheme="minorHAnsi" w:cstheme="minorBidi"/>
          <w:kern w:val="2"/>
          <w:lang w:eastAsia="en-US"/>
          <w14:ligatures w14:val="standardContextual"/>
        </w:rPr>
        <w:t xml:space="preserve">̀ financer la section d'investissement et doit être supérieur ou égal au remboursement du capital de la dette. </w:t>
      </w:r>
    </w:p>
    <w:p w14:paraId="4D11D20A" w14:textId="4121FD4D" w:rsidR="00732D05" w:rsidRDefault="00732D05" w:rsidP="00FB36FA">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732D05">
        <w:rPr>
          <w:rFonts w:asciiTheme="minorHAnsi" w:eastAsiaTheme="minorHAnsi" w:hAnsiTheme="minorHAnsi" w:cstheme="minorBidi"/>
          <w:kern w:val="2"/>
          <w:lang w:eastAsia="en-US"/>
          <w14:ligatures w14:val="standardContextual"/>
        </w:rPr>
        <w:t>L’Épargne Brute au 31 décembre 2023 s’</w:t>
      </w:r>
      <w:r>
        <w:rPr>
          <w:rFonts w:asciiTheme="minorHAnsi" w:eastAsiaTheme="minorHAnsi" w:hAnsiTheme="minorHAnsi" w:cstheme="minorBidi"/>
          <w:kern w:val="2"/>
          <w:lang w:eastAsia="en-US"/>
          <w14:ligatures w14:val="standardContextual"/>
        </w:rPr>
        <w:t xml:space="preserve">élève </w:t>
      </w:r>
      <w:r w:rsidRPr="00732D05">
        <w:rPr>
          <w:rFonts w:asciiTheme="minorHAnsi" w:eastAsiaTheme="minorHAnsi" w:hAnsiTheme="minorHAnsi" w:cstheme="minorBidi"/>
          <w:kern w:val="2"/>
          <w:lang w:eastAsia="en-US"/>
          <w14:ligatures w14:val="standardContextual"/>
        </w:rPr>
        <w:t xml:space="preserve">à </w:t>
      </w:r>
      <w:r w:rsidR="00235020">
        <w:rPr>
          <w:rFonts w:asciiTheme="minorHAnsi" w:eastAsiaTheme="minorHAnsi" w:hAnsiTheme="minorHAnsi" w:cstheme="minorBidi"/>
          <w:kern w:val="2"/>
          <w:lang w:eastAsia="en-US"/>
          <w14:ligatures w14:val="standardContextual"/>
        </w:rPr>
        <w:t>281 525</w:t>
      </w:r>
      <w:r w:rsidRPr="00732D05">
        <w:rPr>
          <w:rFonts w:asciiTheme="minorHAnsi" w:eastAsiaTheme="minorHAnsi" w:hAnsiTheme="minorHAnsi" w:cstheme="minorBidi"/>
          <w:kern w:val="2"/>
          <w:lang w:eastAsia="en-US"/>
          <w14:ligatures w14:val="standardContextual"/>
        </w:rPr>
        <w:t xml:space="preserve"> €, soit un niveau supérieur à la moyenne constatée sur la période 2020/2022 (</w:t>
      </w:r>
      <w:r w:rsidR="00235020">
        <w:rPr>
          <w:rFonts w:asciiTheme="minorHAnsi" w:eastAsiaTheme="minorHAnsi" w:hAnsiTheme="minorHAnsi" w:cstheme="minorBidi"/>
          <w:kern w:val="2"/>
          <w:lang w:eastAsia="en-US"/>
          <w14:ligatures w14:val="standardContextual"/>
        </w:rPr>
        <w:t>169 594</w:t>
      </w:r>
      <w:r w:rsidRPr="00732D05">
        <w:rPr>
          <w:rFonts w:asciiTheme="minorHAnsi" w:eastAsiaTheme="minorHAnsi" w:hAnsiTheme="minorHAnsi" w:cstheme="minorBidi"/>
          <w:kern w:val="2"/>
          <w:lang w:eastAsia="en-US"/>
          <w14:ligatures w14:val="standardContextual"/>
        </w:rPr>
        <w:t xml:space="preserve">€). </w:t>
      </w:r>
    </w:p>
    <w:p w14:paraId="53626626" w14:textId="2D2454D0" w:rsidR="00235020" w:rsidRDefault="00D2696E" w:rsidP="00732D05">
      <w:pPr>
        <w:pStyle w:val="NormalWeb"/>
        <w:rPr>
          <w:rFonts w:asciiTheme="minorHAnsi" w:eastAsiaTheme="minorHAnsi" w:hAnsiTheme="minorHAnsi" w:cstheme="minorBidi"/>
          <w:kern w:val="2"/>
          <w:lang w:eastAsia="en-US"/>
          <w14:ligatures w14:val="standardContextual"/>
        </w:rPr>
      </w:pPr>
      <w:r w:rsidRPr="0067744E">
        <w:rPr>
          <w:rFonts w:asciiTheme="minorHAnsi" w:eastAsiaTheme="minorHAnsi" w:hAnsiTheme="minorHAnsi" w:cstheme="minorBidi"/>
          <w:noProof/>
          <w:kern w:val="2"/>
          <w:lang w:eastAsia="en-US"/>
          <w14:ligatures w14:val="standardContextual"/>
        </w:rPr>
      </w:r>
      <w:r w:rsidR="00D2696E" w:rsidRPr="0067744E">
        <w:rPr>
          <w:rFonts w:asciiTheme="minorHAnsi" w:eastAsiaTheme="minorHAnsi" w:hAnsiTheme="minorHAnsi" w:cstheme="minorBidi"/>
          <w:noProof/>
          <w:kern w:val="2"/>
          <w:lang w:eastAsia="en-US"/>
          <w14:ligatures w14:val="standardContextual"/>
        </w:rPr>
        <w:object w:dxaOrig="14180" w:dyaOrig="1460" w14:anchorId="65D68AAC">
          <v:shape id="_x0000_i1030" type="#_x0000_t75" alt="" style="width:525pt;height:54pt;mso-width-percent:0;mso-height-percent:0;mso-width-percent:0;mso-height-percent:0" o:ole="">
            <v:imagedata r:id="rId22" o:title=""/>
          </v:shape>
          <o:OLEObject Type="Embed" ProgID="Excel.Sheet.12" ShapeID="_x0000_i1030" DrawAspect="Content" ObjectID="_1773646087" r:id="rId23"/>
        </w:object>
      </w:r>
    </w:p>
    <w:p w14:paraId="04B5580C" w14:textId="08F0B7F8" w:rsidR="003B1F63" w:rsidRPr="003B1F63" w:rsidRDefault="003B1F63" w:rsidP="003B1F63">
      <w:pPr>
        <w:pStyle w:val="NormalWeb"/>
        <w:rPr>
          <w:rFonts w:asciiTheme="minorHAnsi" w:eastAsiaTheme="minorHAnsi" w:hAnsiTheme="minorHAnsi" w:cstheme="minorBidi"/>
          <w:kern w:val="2"/>
          <w:lang w:eastAsia="en-US"/>
          <w14:ligatures w14:val="standardContextual"/>
        </w:rPr>
      </w:pPr>
      <w:r w:rsidRPr="003B1F63">
        <w:rPr>
          <w:rFonts w:asciiTheme="minorHAnsi" w:eastAsiaTheme="minorHAnsi" w:hAnsiTheme="minorHAnsi" w:cstheme="minorBidi"/>
          <w:kern w:val="2"/>
          <w:lang w:eastAsia="en-US"/>
          <w14:ligatures w14:val="standardContextual"/>
        </w:rPr>
        <w:t>Le taux d'</w:t>
      </w:r>
      <w:r w:rsidR="00B36D20" w:rsidRPr="003B1F63">
        <w:rPr>
          <w:rFonts w:asciiTheme="minorHAnsi" w:eastAsiaTheme="minorHAnsi" w:hAnsiTheme="minorHAnsi" w:cstheme="minorBidi"/>
          <w:kern w:val="2"/>
          <w:lang w:eastAsia="en-US"/>
          <w14:ligatures w14:val="standardContextual"/>
        </w:rPr>
        <w:t>épargne</w:t>
      </w:r>
      <w:r w:rsidRPr="003B1F63">
        <w:rPr>
          <w:rFonts w:asciiTheme="minorHAnsi" w:eastAsiaTheme="minorHAnsi" w:hAnsiTheme="minorHAnsi" w:cstheme="minorBidi"/>
          <w:kern w:val="2"/>
          <w:lang w:eastAsia="en-US"/>
          <w14:ligatures w14:val="standardContextual"/>
        </w:rPr>
        <w:t xml:space="preserve"> brute est </w:t>
      </w:r>
      <w:r w:rsidR="00B36D20" w:rsidRPr="003B1F63">
        <w:rPr>
          <w:rFonts w:asciiTheme="minorHAnsi" w:eastAsiaTheme="minorHAnsi" w:hAnsiTheme="minorHAnsi" w:cstheme="minorBidi"/>
          <w:kern w:val="2"/>
          <w:lang w:eastAsia="en-US"/>
          <w14:ligatures w14:val="standardContextual"/>
        </w:rPr>
        <w:t>détermine</w:t>
      </w:r>
      <w:r w:rsidRPr="003B1F63">
        <w:rPr>
          <w:rFonts w:asciiTheme="minorHAnsi" w:eastAsiaTheme="minorHAnsi" w:hAnsiTheme="minorHAnsi" w:cstheme="minorBidi"/>
          <w:kern w:val="2"/>
          <w:lang w:eastAsia="en-US"/>
          <w14:ligatures w14:val="standardContextual"/>
        </w:rPr>
        <w:t>́ par le rapport entre l'</w:t>
      </w:r>
      <w:r w:rsidR="00B36D20" w:rsidRPr="003B1F63">
        <w:rPr>
          <w:rFonts w:asciiTheme="minorHAnsi" w:eastAsiaTheme="minorHAnsi" w:hAnsiTheme="minorHAnsi" w:cstheme="minorBidi"/>
          <w:kern w:val="2"/>
          <w:lang w:eastAsia="en-US"/>
          <w14:ligatures w14:val="standardContextual"/>
        </w:rPr>
        <w:t>épargne</w:t>
      </w:r>
      <w:r w:rsidRPr="003B1F63">
        <w:rPr>
          <w:rFonts w:asciiTheme="minorHAnsi" w:eastAsiaTheme="minorHAnsi" w:hAnsiTheme="minorHAnsi" w:cstheme="minorBidi"/>
          <w:kern w:val="2"/>
          <w:lang w:eastAsia="en-US"/>
          <w14:ligatures w14:val="standardContextual"/>
        </w:rPr>
        <w:t xml:space="preserve"> brute et les recettes </w:t>
      </w:r>
      <w:r w:rsidR="00B36D20" w:rsidRPr="003B1F63">
        <w:rPr>
          <w:rFonts w:asciiTheme="minorHAnsi" w:eastAsiaTheme="minorHAnsi" w:hAnsiTheme="minorHAnsi" w:cstheme="minorBidi"/>
          <w:kern w:val="2"/>
          <w:lang w:eastAsia="en-US"/>
          <w14:ligatures w14:val="standardContextual"/>
        </w:rPr>
        <w:t>réelles</w:t>
      </w:r>
      <w:r w:rsidRPr="003B1F63">
        <w:rPr>
          <w:rFonts w:asciiTheme="minorHAnsi" w:eastAsiaTheme="minorHAnsi" w:hAnsiTheme="minorHAnsi" w:cstheme="minorBidi"/>
          <w:kern w:val="2"/>
          <w:lang w:eastAsia="en-US"/>
          <w14:ligatures w14:val="standardContextual"/>
        </w:rPr>
        <w:t xml:space="preserve"> de fonctionnement. Ce taux d'</w:t>
      </w:r>
      <w:r w:rsidR="00B36D20" w:rsidRPr="003B1F63">
        <w:rPr>
          <w:rFonts w:asciiTheme="minorHAnsi" w:eastAsiaTheme="minorHAnsi" w:hAnsiTheme="minorHAnsi" w:cstheme="minorBidi"/>
          <w:kern w:val="2"/>
          <w:lang w:eastAsia="en-US"/>
          <w14:ligatures w14:val="standardContextual"/>
        </w:rPr>
        <w:t>épargne</w:t>
      </w:r>
      <w:r w:rsidRPr="003B1F63">
        <w:rPr>
          <w:rFonts w:asciiTheme="minorHAnsi" w:eastAsiaTheme="minorHAnsi" w:hAnsiTheme="minorHAnsi" w:cstheme="minorBidi"/>
          <w:kern w:val="2"/>
          <w:lang w:eastAsia="en-US"/>
          <w14:ligatures w14:val="standardContextual"/>
        </w:rPr>
        <w:t xml:space="preserve"> brute permet d'analyser la santé </w:t>
      </w:r>
      <w:r w:rsidR="00B36D20" w:rsidRPr="003B1F63">
        <w:rPr>
          <w:rFonts w:asciiTheme="minorHAnsi" w:eastAsiaTheme="minorHAnsi" w:hAnsiTheme="minorHAnsi" w:cstheme="minorBidi"/>
          <w:kern w:val="2"/>
          <w:lang w:eastAsia="en-US"/>
          <w14:ligatures w14:val="standardContextual"/>
        </w:rPr>
        <w:t>financière</w:t>
      </w:r>
      <w:r w:rsidRPr="003B1F63">
        <w:rPr>
          <w:rFonts w:asciiTheme="minorHAnsi" w:eastAsiaTheme="minorHAnsi" w:hAnsiTheme="minorHAnsi" w:cstheme="minorBidi"/>
          <w:kern w:val="2"/>
          <w:lang w:eastAsia="en-US"/>
          <w14:ligatures w14:val="standardContextual"/>
        </w:rPr>
        <w:t xml:space="preserve"> de la </w:t>
      </w:r>
      <w:r w:rsidR="00B36D20" w:rsidRPr="003B1F63">
        <w:rPr>
          <w:rFonts w:asciiTheme="minorHAnsi" w:eastAsiaTheme="minorHAnsi" w:hAnsiTheme="minorHAnsi" w:cstheme="minorBidi"/>
          <w:kern w:val="2"/>
          <w:lang w:eastAsia="en-US"/>
          <w14:ligatures w14:val="standardContextual"/>
        </w:rPr>
        <w:t>collectivité</w:t>
      </w:r>
      <w:r w:rsidRPr="003B1F63">
        <w:rPr>
          <w:rFonts w:asciiTheme="minorHAnsi" w:eastAsiaTheme="minorHAnsi" w:hAnsiTheme="minorHAnsi" w:cstheme="minorBidi"/>
          <w:kern w:val="2"/>
          <w:lang w:eastAsia="en-US"/>
          <w14:ligatures w14:val="standardContextual"/>
        </w:rPr>
        <w:t xml:space="preserve">́. </w:t>
      </w:r>
    </w:p>
    <w:p w14:paraId="3BFF7BE2" w14:textId="4658D431" w:rsidR="003B1F63" w:rsidRPr="003B1F63" w:rsidRDefault="003B1F63" w:rsidP="003B1F63">
      <w:pPr>
        <w:pStyle w:val="NormalWeb"/>
        <w:rPr>
          <w:rFonts w:asciiTheme="minorHAnsi" w:eastAsiaTheme="minorHAnsi" w:hAnsiTheme="minorHAnsi" w:cstheme="minorBidi"/>
          <w:kern w:val="2"/>
          <w:lang w:eastAsia="en-US"/>
          <w14:ligatures w14:val="standardContextual"/>
        </w:rPr>
      </w:pPr>
      <w:r w:rsidRPr="003B1F63">
        <w:rPr>
          <w:rFonts w:asciiTheme="minorHAnsi" w:eastAsiaTheme="minorHAnsi" w:hAnsiTheme="minorHAnsi" w:cstheme="minorBidi"/>
          <w:kern w:val="2"/>
          <w:lang w:eastAsia="en-US"/>
          <w14:ligatures w14:val="standardContextual"/>
        </w:rPr>
        <w:t>Il est d'usage d'associer au taux d'</w:t>
      </w:r>
      <w:r w:rsidR="00B36D20" w:rsidRPr="003B1F63">
        <w:rPr>
          <w:rFonts w:asciiTheme="minorHAnsi" w:eastAsiaTheme="minorHAnsi" w:hAnsiTheme="minorHAnsi" w:cstheme="minorBidi"/>
          <w:kern w:val="2"/>
          <w:lang w:eastAsia="en-US"/>
          <w14:ligatures w14:val="standardContextual"/>
        </w:rPr>
        <w:t>épargne</w:t>
      </w:r>
      <w:r w:rsidRPr="003B1F63">
        <w:rPr>
          <w:rFonts w:asciiTheme="minorHAnsi" w:eastAsiaTheme="minorHAnsi" w:hAnsiTheme="minorHAnsi" w:cstheme="minorBidi"/>
          <w:kern w:val="2"/>
          <w:lang w:eastAsia="en-US"/>
          <w14:ligatures w14:val="standardContextual"/>
        </w:rPr>
        <w:t xml:space="preserve"> brute deux seuils, un premier à 10% et le second à 7%. </w:t>
      </w:r>
    </w:p>
    <w:p w14:paraId="42E9851C" w14:textId="52112E0D" w:rsidR="0093763F" w:rsidRDefault="003B1F63" w:rsidP="003B1F63">
      <w:pPr>
        <w:pStyle w:val="NormalWeb"/>
        <w:rPr>
          <w:rFonts w:asciiTheme="minorHAnsi" w:eastAsiaTheme="minorHAnsi" w:hAnsiTheme="minorHAnsi" w:cstheme="minorBidi"/>
          <w:kern w:val="2"/>
          <w:lang w:eastAsia="en-US"/>
          <w14:ligatures w14:val="standardContextual"/>
        </w:rPr>
      </w:pPr>
      <w:r w:rsidRPr="003B1F63">
        <w:rPr>
          <w:rFonts w:asciiTheme="minorHAnsi" w:eastAsiaTheme="minorHAnsi" w:hAnsiTheme="minorHAnsi" w:cstheme="minorBidi"/>
          <w:kern w:val="2"/>
          <w:lang w:eastAsia="en-US"/>
          <w14:ligatures w14:val="standardContextual"/>
        </w:rPr>
        <w:t xml:space="preserve">Le premier seuil correspond </w:t>
      </w:r>
      <w:proofErr w:type="spellStart"/>
      <w:r w:rsidRPr="003B1F63">
        <w:rPr>
          <w:rFonts w:asciiTheme="minorHAnsi" w:eastAsiaTheme="minorHAnsi" w:hAnsiTheme="minorHAnsi" w:cstheme="minorBidi"/>
          <w:kern w:val="2"/>
          <w:lang w:eastAsia="en-US"/>
          <w14:ligatures w14:val="standardContextual"/>
        </w:rPr>
        <w:t>a</w:t>
      </w:r>
      <w:proofErr w:type="spellEnd"/>
      <w:r w:rsidRPr="003B1F63">
        <w:rPr>
          <w:rFonts w:asciiTheme="minorHAnsi" w:eastAsiaTheme="minorHAnsi" w:hAnsiTheme="minorHAnsi" w:cstheme="minorBidi"/>
          <w:kern w:val="2"/>
          <w:lang w:eastAsia="en-US"/>
          <w14:ligatures w14:val="standardContextual"/>
        </w:rPr>
        <w:t xml:space="preserve">̀ un premier avertissement, une </w:t>
      </w:r>
      <w:r w:rsidR="00B36D20" w:rsidRPr="003B1F63">
        <w:rPr>
          <w:rFonts w:asciiTheme="minorHAnsi" w:eastAsiaTheme="minorHAnsi" w:hAnsiTheme="minorHAnsi" w:cstheme="minorBidi"/>
          <w:kern w:val="2"/>
          <w:lang w:eastAsia="en-US"/>
          <w14:ligatures w14:val="standardContextual"/>
        </w:rPr>
        <w:t>collectivité</w:t>
      </w:r>
      <w:r w:rsidRPr="003B1F63">
        <w:rPr>
          <w:rFonts w:asciiTheme="minorHAnsi" w:eastAsiaTheme="minorHAnsi" w:hAnsiTheme="minorHAnsi" w:cstheme="minorBidi"/>
          <w:kern w:val="2"/>
          <w:lang w:eastAsia="en-US"/>
          <w14:ligatures w14:val="standardContextual"/>
        </w:rPr>
        <w:t>́ qui passe sous les 10% n'est pas à l'abri d'une chute sensible voire une perte totale d'</w:t>
      </w:r>
      <w:r w:rsidR="00B36D20" w:rsidRPr="003B1F63">
        <w:rPr>
          <w:rFonts w:asciiTheme="minorHAnsi" w:eastAsiaTheme="minorHAnsi" w:hAnsiTheme="minorHAnsi" w:cstheme="minorBidi"/>
          <w:kern w:val="2"/>
          <w:lang w:eastAsia="en-US"/>
          <w14:ligatures w14:val="standardContextual"/>
        </w:rPr>
        <w:t>épargne</w:t>
      </w:r>
      <w:r w:rsidRPr="003B1F63">
        <w:rPr>
          <w:rFonts w:asciiTheme="minorHAnsi" w:eastAsiaTheme="minorHAnsi" w:hAnsiTheme="minorHAnsi" w:cstheme="minorBidi"/>
          <w:kern w:val="2"/>
          <w:lang w:eastAsia="en-US"/>
          <w14:ligatures w14:val="standardContextual"/>
        </w:rPr>
        <w:t xml:space="preserve">. </w:t>
      </w:r>
      <w:r w:rsidR="0093763F">
        <w:rPr>
          <w:rFonts w:asciiTheme="minorHAnsi" w:eastAsiaTheme="minorHAnsi" w:hAnsiTheme="minorHAnsi" w:cstheme="minorBidi"/>
          <w:kern w:val="2"/>
          <w:lang w:eastAsia="en-US"/>
          <w14:ligatures w14:val="standardContextual"/>
        </w:rPr>
        <w:t>Le deuxième est</w:t>
      </w:r>
      <w:r w:rsidRPr="003B1F63">
        <w:rPr>
          <w:rFonts w:asciiTheme="minorHAnsi" w:eastAsiaTheme="minorHAnsi" w:hAnsiTheme="minorHAnsi" w:cstheme="minorBidi"/>
          <w:kern w:val="2"/>
          <w:lang w:eastAsia="en-US"/>
          <w14:ligatures w14:val="standardContextual"/>
        </w:rPr>
        <w:t xml:space="preserve"> </w:t>
      </w:r>
      <w:r w:rsidR="00B36D20" w:rsidRPr="003B1F63">
        <w:rPr>
          <w:rFonts w:asciiTheme="minorHAnsi" w:eastAsiaTheme="minorHAnsi" w:hAnsiTheme="minorHAnsi" w:cstheme="minorBidi"/>
          <w:kern w:val="2"/>
          <w:lang w:eastAsia="en-US"/>
          <w14:ligatures w14:val="standardContextual"/>
        </w:rPr>
        <w:t>consid</w:t>
      </w:r>
      <w:r w:rsidR="0093763F">
        <w:rPr>
          <w:rFonts w:asciiTheme="minorHAnsi" w:eastAsiaTheme="minorHAnsi" w:hAnsiTheme="minorHAnsi" w:cstheme="minorBidi"/>
          <w:kern w:val="2"/>
          <w:lang w:eastAsia="en-US"/>
          <w14:ligatures w14:val="standardContextual"/>
        </w:rPr>
        <w:t>éré</w:t>
      </w:r>
      <w:r w:rsidRPr="003B1F63">
        <w:rPr>
          <w:rFonts w:asciiTheme="minorHAnsi" w:eastAsiaTheme="minorHAnsi" w:hAnsiTheme="minorHAnsi" w:cstheme="minorBidi"/>
          <w:kern w:val="2"/>
          <w:lang w:eastAsia="en-US"/>
          <w14:ligatures w14:val="standardContextual"/>
        </w:rPr>
        <w:t xml:space="preserve"> comme un seuil</w:t>
      </w:r>
      <w:r w:rsidR="0093763F">
        <w:rPr>
          <w:rFonts w:asciiTheme="minorHAnsi" w:eastAsiaTheme="minorHAnsi" w:hAnsiTheme="minorHAnsi" w:cstheme="minorBidi"/>
          <w:kern w:val="2"/>
          <w:lang w:eastAsia="en-US"/>
          <w14:ligatures w14:val="standardContextual"/>
        </w:rPr>
        <w:t xml:space="preserve"> </w:t>
      </w:r>
      <w:r w:rsidRPr="003B1F63">
        <w:rPr>
          <w:rFonts w:asciiTheme="minorHAnsi" w:eastAsiaTheme="minorHAnsi" w:hAnsiTheme="minorHAnsi" w:cstheme="minorBidi"/>
          <w:kern w:val="2"/>
          <w:lang w:eastAsia="en-US"/>
          <w14:ligatures w14:val="standardContextual"/>
        </w:rPr>
        <w:t>d'alerte.</w:t>
      </w:r>
      <w:r w:rsidR="0093763F" w:rsidRPr="0093763F">
        <w:rPr>
          <w:noProof/>
        </w:rPr>
        <w:t xml:space="preserve"> </w:t>
      </w:r>
    </w:p>
    <w:p w14:paraId="287C2274" w14:textId="77777777" w:rsidR="0093763F" w:rsidRDefault="003B1F63" w:rsidP="003B1F63">
      <w:pPr>
        <w:pStyle w:val="NormalWeb"/>
        <w:rPr>
          <w:rFonts w:asciiTheme="minorHAnsi" w:eastAsiaTheme="minorHAnsi" w:hAnsiTheme="minorHAnsi" w:cstheme="minorBidi"/>
          <w:kern w:val="2"/>
          <w:lang w:eastAsia="en-US"/>
          <w14:ligatures w14:val="standardContextual"/>
        </w:rPr>
      </w:pPr>
      <w:r w:rsidRPr="003B1F63">
        <w:rPr>
          <w:rFonts w:asciiTheme="minorHAnsi" w:eastAsiaTheme="minorHAnsi" w:hAnsiTheme="minorHAnsi" w:cstheme="minorBidi"/>
          <w:kern w:val="2"/>
          <w:lang w:eastAsia="en-US"/>
          <w14:ligatures w14:val="standardContextual"/>
        </w:rPr>
        <w:t xml:space="preserve"> </w:t>
      </w:r>
      <w:r w:rsidR="0093763F">
        <w:rPr>
          <w:noProof/>
        </w:rPr>
        <w:drawing>
          <wp:inline distT="0" distB="0" distL="0" distR="0" wp14:anchorId="0D6B3BAC" wp14:editId="20E974A0">
            <wp:extent cx="4460240" cy="1026160"/>
            <wp:effectExtent l="0" t="0" r="10160" b="15240"/>
            <wp:docPr id="782306248" name="Graphique 1">
              <a:extLst xmlns:a="http://schemas.openxmlformats.org/drawingml/2006/main">
                <a:ext uri="{FF2B5EF4-FFF2-40B4-BE49-F238E27FC236}">
                  <a16:creationId xmlns:a16="http://schemas.microsoft.com/office/drawing/2014/main" id="{AEBCEBCF-B2E8-C6F4-E8D2-D4E74F126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B30D2D" w14:textId="58DAC6D4" w:rsidR="003B1F63" w:rsidRPr="00732D05" w:rsidRDefault="003C7EA6" w:rsidP="00732D05">
      <w:pPr>
        <w:pStyle w:val="NormalWeb"/>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L’exercice 2023 marque un retour à la normale.</w:t>
      </w:r>
    </w:p>
    <w:p w14:paraId="40B1A057" w14:textId="7325D301" w:rsidR="00732D05" w:rsidRDefault="003B1F63" w:rsidP="00091F9E">
      <w:pPr>
        <w:pStyle w:val="NormalWeb"/>
        <w:spacing w:before="12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EPARGNE NETTE</w:t>
      </w:r>
    </w:p>
    <w:p w14:paraId="41BC1EEE" w14:textId="1719480F" w:rsidR="003506C9" w:rsidRDefault="003B1F63" w:rsidP="003506C9">
      <w:pPr>
        <w:pStyle w:val="NormalWeb"/>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Cet indicateur correspond à l’</w:t>
      </w:r>
      <w:r w:rsidRPr="003B1F63">
        <w:rPr>
          <w:rFonts w:asciiTheme="minorHAnsi" w:eastAsiaTheme="minorHAnsi" w:hAnsiTheme="minorHAnsi" w:cstheme="minorBidi"/>
          <w:kern w:val="2"/>
          <w:lang w:eastAsia="en-US"/>
          <w14:ligatures w14:val="standardContextual"/>
        </w:rPr>
        <w:t>Épargne brute</w:t>
      </w:r>
      <w:r w:rsidR="00903C9F">
        <w:rPr>
          <w:rFonts w:asciiTheme="minorHAnsi" w:eastAsiaTheme="minorHAnsi" w:hAnsiTheme="minorHAnsi" w:cstheme="minorBidi"/>
          <w:kern w:val="2"/>
          <w:lang w:eastAsia="en-US"/>
          <w14:ligatures w14:val="standardContextual"/>
        </w:rPr>
        <w:t>, ampu</w:t>
      </w:r>
      <w:r w:rsidRPr="003B1F63">
        <w:rPr>
          <w:rFonts w:asciiTheme="minorHAnsi" w:eastAsiaTheme="minorHAnsi" w:hAnsiTheme="minorHAnsi" w:cstheme="minorBidi"/>
          <w:kern w:val="2"/>
          <w:lang w:eastAsia="en-US"/>
          <w14:ligatures w14:val="standardContextual"/>
        </w:rPr>
        <w:t xml:space="preserve">tée du remboursement du capital de la dette, l’épargne nette permet de mesurer l'équilibre annuel. </w:t>
      </w:r>
    </w:p>
    <w:p w14:paraId="03E1344D" w14:textId="0C2D5254" w:rsidR="0093763F" w:rsidRPr="003B1F63" w:rsidRDefault="003506C9" w:rsidP="003506C9">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3506C9">
        <w:rPr>
          <w:rFonts w:asciiTheme="minorHAnsi" w:eastAsiaTheme="minorHAnsi" w:hAnsiTheme="minorHAnsi" w:cstheme="minorBidi"/>
          <w:kern w:val="2"/>
          <w:lang w:eastAsia="en-US"/>
          <w14:ligatures w14:val="standardContextual"/>
        </w:rPr>
        <w:t>C’est aussi l’indicateur qui permet de définir notre capacité d’investissement net. Dans une commune comme Marcillac-Vallon, avec des fonctions de centralité importante, il est à un niveau qui ne correspond en rien aux nécessités d’investissement pour satisfaire les demandes justifiées de sa population.</w:t>
      </w:r>
    </w:p>
    <w:p w14:paraId="7AA1E275" w14:textId="6F8626EF" w:rsidR="003B1F63" w:rsidRPr="003B1F63" w:rsidRDefault="003B1F63" w:rsidP="003506C9">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3B1F63">
        <w:rPr>
          <w:rFonts w:asciiTheme="minorHAnsi" w:eastAsiaTheme="minorHAnsi" w:hAnsiTheme="minorHAnsi" w:cstheme="minorBidi"/>
          <w:kern w:val="2"/>
          <w:lang w:eastAsia="en-US"/>
          <w14:ligatures w14:val="standardContextual"/>
        </w:rPr>
        <w:t xml:space="preserve">Une épargne nette négative illustre une santé financière dégradée. </w:t>
      </w:r>
    </w:p>
    <w:p w14:paraId="776CBB35" w14:textId="75D131F4" w:rsidR="00EE2576" w:rsidRDefault="00D2696E" w:rsidP="003B1F63">
      <w:pPr>
        <w:pStyle w:val="NormalWeb"/>
        <w:rPr>
          <w:rFonts w:asciiTheme="minorHAnsi" w:eastAsiaTheme="minorHAnsi" w:hAnsiTheme="minorHAnsi" w:cstheme="minorBidi"/>
          <w:kern w:val="2"/>
          <w:lang w:eastAsia="en-US"/>
          <w14:ligatures w14:val="standardContextual"/>
        </w:rPr>
      </w:pPr>
      <w:r w:rsidRPr="0067744E">
        <w:rPr>
          <w:rFonts w:asciiTheme="minorHAnsi" w:eastAsiaTheme="minorHAnsi" w:hAnsiTheme="minorHAnsi" w:cstheme="minorBidi"/>
          <w:noProof/>
          <w:kern w:val="2"/>
          <w:lang w:eastAsia="en-US"/>
          <w14:ligatures w14:val="standardContextual"/>
        </w:rPr>
      </w:r>
      <w:r w:rsidR="00D2696E" w:rsidRPr="0067744E">
        <w:rPr>
          <w:rFonts w:asciiTheme="minorHAnsi" w:eastAsiaTheme="minorHAnsi" w:hAnsiTheme="minorHAnsi" w:cstheme="minorBidi"/>
          <w:noProof/>
          <w:kern w:val="2"/>
          <w:lang w:eastAsia="en-US"/>
          <w14:ligatures w14:val="standardContextual"/>
        </w:rPr>
        <w:object w:dxaOrig="14180" w:dyaOrig="1460" w14:anchorId="025DE2B9">
          <v:shape id="_x0000_i1031" type="#_x0000_t75" alt="" style="width:518pt;height:53pt;mso-width-percent:0;mso-height-percent:0;mso-width-percent:0;mso-height-percent:0" o:ole="">
            <v:imagedata r:id="rId25" o:title=""/>
          </v:shape>
          <o:OLEObject Type="Embed" ProgID="Excel.Sheet.12" ShapeID="_x0000_i1031" DrawAspect="Content" ObjectID="_1773646088" r:id="rId26"/>
        </w:object>
      </w:r>
    </w:p>
    <w:p w14:paraId="2F79A7CD" w14:textId="595F6EE0" w:rsidR="003B1F63" w:rsidRDefault="003B1F63" w:rsidP="003B1F63">
      <w:pPr>
        <w:pStyle w:val="NormalWeb"/>
        <w:rPr>
          <w:rFonts w:asciiTheme="minorHAnsi" w:eastAsiaTheme="minorHAnsi" w:hAnsiTheme="minorHAnsi" w:cstheme="minorBidi"/>
          <w:kern w:val="2"/>
          <w:lang w:eastAsia="en-US"/>
          <w14:ligatures w14:val="standardContextual"/>
        </w:rPr>
      </w:pPr>
      <w:r w:rsidRPr="003B1F63">
        <w:rPr>
          <w:rFonts w:asciiTheme="minorHAnsi" w:eastAsiaTheme="minorHAnsi" w:hAnsiTheme="minorHAnsi" w:cstheme="minorBidi"/>
          <w:kern w:val="2"/>
          <w:lang w:eastAsia="en-US"/>
          <w14:ligatures w14:val="standardContextual"/>
        </w:rPr>
        <w:t>La combinaison de la baisse de l’épargne de gestion et du recours à l’emprunt en 201</w:t>
      </w:r>
      <w:r w:rsidR="00EE2576">
        <w:rPr>
          <w:rFonts w:asciiTheme="minorHAnsi" w:eastAsiaTheme="minorHAnsi" w:hAnsiTheme="minorHAnsi" w:cstheme="minorBidi"/>
          <w:kern w:val="2"/>
          <w:lang w:eastAsia="en-US"/>
          <w14:ligatures w14:val="standardContextual"/>
        </w:rPr>
        <w:t>7</w:t>
      </w:r>
      <w:r w:rsidRPr="003B1F63">
        <w:rPr>
          <w:rFonts w:asciiTheme="minorHAnsi" w:eastAsiaTheme="minorHAnsi" w:hAnsiTheme="minorHAnsi" w:cstheme="minorBidi"/>
          <w:kern w:val="2"/>
          <w:lang w:eastAsia="en-US"/>
          <w14:ligatures w14:val="standardContextual"/>
        </w:rPr>
        <w:t xml:space="preserve"> a eu pour effet de diminuer l’épargne nette depuis 20</w:t>
      </w:r>
      <w:r w:rsidR="00EE2576">
        <w:rPr>
          <w:rFonts w:asciiTheme="minorHAnsi" w:eastAsiaTheme="minorHAnsi" w:hAnsiTheme="minorHAnsi" w:cstheme="minorBidi"/>
          <w:kern w:val="2"/>
          <w:lang w:eastAsia="en-US"/>
          <w14:ligatures w14:val="standardContextual"/>
        </w:rPr>
        <w:t>20</w:t>
      </w:r>
      <w:r w:rsidRPr="003B1F63">
        <w:rPr>
          <w:rFonts w:asciiTheme="minorHAnsi" w:eastAsiaTheme="minorHAnsi" w:hAnsiTheme="minorHAnsi" w:cstheme="minorBidi"/>
          <w:kern w:val="2"/>
          <w:lang w:eastAsia="en-US"/>
          <w14:ligatures w14:val="standardContextual"/>
        </w:rPr>
        <w:t xml:space="preserve">. Avec une épargne nette en hausse de </w:t>
      </w:r>
      <w:r w:rsidR="003C7EA6">
        <w:rPr>
          <w:rFonts w:asciiTheme="minorHAnsi" w:eastAsiaTheme="minorHAnsi" w:hAnsiTheme="minorHAnsi" w:cstheme="minorBidi"/>
          <w:kern w:val="2"/>
          <w:lang w:eastAsia="en-US"/>
          <w14:ligatures w14:val="standardContextual"/>
        </w:rPr>
        <w:t>133 492</w:t>
      </w:r>
      <w:r w:rsidRPr="003B1F63">
        <w:rPr>
          <w:rFonts w:asciiTheme="minorHAnsi" w:eastAsiaTheme="minorHAnsi" w:hAnsiTheme="minorHAnsi" w:cstheme="minorBidi"/>
          <w:kern w:val="2"/>
          <w:lang w:eastAsia="en-US"/>
          <w14:ligatures w14:val="standardContextual"/>
        </w:rPr>
        <w:t xml:space="preserve"> € en 2023, la tendance </w:t>
      </w:r>
      <w:r w:rsidR="00EE2576">
        <w:rPr>
          <w:rFonts w:asciiTheme="minorHAnsi" w:eastAsiaTheme="minorHAnsi" w:hAnsiTheme="minorHAnsi" w:cstheme="minorBidi"/>
          <w:kern w:val="2"/>
          <w:lang w:eastAsia="en-US"/>
          <w14:ligatures w14:val="standardContextual"/>
        </w:rPr>
        <w:t>s’inverse</w:t>
      </w:r>
      <w:r w:rsidRPr="003B1F63">
        <w:rPr>
          <w:rFonts w:asciiTheme="minorHAnsi" w:eastAsiaTheme="minorHAnsi" w:hAnsiTheme="minorHAnsi" w:cstheme="minorBidi"/>
          <w:kern w:val="2"/>
          <w:lang w:eastAsia="en-US"/>
          <w14:ligatures w14:val="standardContextual"/>
        </w:rPr>
        <w:t xml:space="preserve">. </w:t>
      </w:r>
    </w:p>
    <w:p w14:paraId="0C1CD850" w14:textId="77777777" w:rsidR="003C7006" w:rsidRDefault="00141ADF" w:rsidP="003B1F63">
      <w:pPr>
        <w:pStyle w:val="NormalWeb"/>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EN CO</w:t>
      </w:r>
      <w:r w:rsidR="003C7006">
        <w:rPr>
          <w:rFonts w:asciiTheme="minorHAnsi" w:eastAsiaTheme="minorHAnsi" w:hAnsiTheme="minorHAnsi" w:cstheme="minorBidi"/>
          <w:kern w:val="2"/>
          <w:lang w:eastAsia="en-US"/>
          <w14:ligatures w14:val="standardContextual"/>
        </w:rPr>
        <w:t xml:space="preserve">URS DE LA DETTE </w:t>
      </w:r>
    </w:p>
    <w:p w14:paraId="04006646" w14:textId="1E602D99" w:rsidR="00582803" w:rsidRDefault="003C7006" w:rsidP="00582803">
      <w:pPr>
        <w:pStyle w:val="NormalWeb"/>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 xml:space="preserve">Les engagements de la réhabilitation de l’ancien presbytère nécessitent un recours à l’emprunt progressif à partir d’octobre 2023. A cet effet deux emprunts ont été négociés ; un à court terme (2ans) et un sur du long terme (20 ans). </w:t>
      </w:r>
      <w:r w:rsidR="00AD2E5C">
        <w:rPr>
          <w:rFonts w:asciiTheme="minorHAnsi" w:eastAsiaTheme="minorHAnsi" w:hAnsiTheme="minorHAnsi" w:cstheme="minorBidi"/>
          <w:kern w:val="2"/>
          <w:lang w:eastAsia="en-US"/>
          <w14:ligatures w14:val="standardContextual"/>
        </w:rPr>
        <w:t xml:space="preserve">Le premier est destiné à assurer le financement des travaux dans l’attente du versement des subventions. Il correspond à l’avance de trésorerie que doit financer la </w:t>
      </w:r>
      <w:proofErr w:type="spellStart"/>
      <w:proofErr w:type="gramStart"/>
      <w:r w:rsidR="00AD2E5C">
        <w:rPr>
          <w:rFonts w:asciiTheme="minorHAnsi" w:eastAsiaTheme="minorHAnsi" w:hAnsiTheme="minorHAnsi" w:cstheme="minorBidi"/>
          <w:kern w:val="2"/>
          <w:lang w:eastAsia="en-US"/>
          <w14:ligatures w14:val="standardContextual"/>
        </w:rPr>
        <w:t>municipalité.</w:t>
      </w:r>
      <w:r>
        <w:rPr>
          <w:rFonts w:asciiTheme="minorHAnsi" w:eastAsiaTheme="minorHAnsi" w:hAnsiTheme="minorHAnsi" w:cstheme="minorBidi"/>
          <w:kern w:val="2"/>
          <w:lang w:eastAsia="en-US"/>
          <w14:ligatures w14:val="standardContextual"/>
        </w:rPr>
        <w:t>La</w:t>
      </w:r>
      <w:proofErr w:type="spellEnd"/>
      <w:proofErr w:type="gramEnd"/>
      <w:r>
        <w:rPr>
          <w:rFonts w:asciiTheme="minorHAnsi" w:eastAsiaTheme="minorHAnsi" w:hAnsiTheme="minorHAnsi" w:cstheme="minorBidi"/>
          <w:kern w:val="2"/>
          <w:lang w:eastAsia="en-US"/>
          <w14:ligatures w14:val="standardContextual"/>
        </w:rPr>
        <w:t xml:space="preserve"> formule retenue avec le crédit agricole </w:t>
      </w:r>
      <w:r w:rsidR="00AD2E5C">
        <w:rPr>
          <w:rFonts w:asciiTheme="minorHAnsi" w:eastAsiaTheme="minorHAnsi" w:hAnsiTheme="minorHAnsi" w:cstheme="minorBidi"/>
          <w:kern w:val="2"/>
          <w:lang w:eastAsia="en-US"/>
          <w14:ligatures w14:val="standardContextual"/>
        </w:rPr>
        <w:t>permet</w:t>
      </w:r>
      <w:r>
        <w:rPr>
          <w:rFonts w:asciiTheme="minorHAnsi" w:eastAsiaTheme="minorHAnsi" w:hAnsiTheme="minorHAnsi" w:cstheme="minorBidi"/>
          <w:kern w:val="2"/>
          <w:lang w:eastAsia="en-US"/>
          <w14:ligatures w14:val="standardContextual"/>
        </w:rPr>
        <w:t xml:space="preserve"> des remboursements de capital différés de deux ans. Fin 2023 une partie </w:t>
      </w:r>
      <w:r w:rsidR="00AD2E5C">
        <w:rPr>
          <w:rFonts w:asciiTheme="minorHAnsi" w:eastAsiaTheme="minorHAnsi" w:hAnsiTheme="minorHAnsi" w:cstheme="minorBidi"/>
          <w:kern w:val="2"/>
          <w:lang w:eastAsia="en-US"/>
          <w14:ligatures w14:val="standardContextual"/>
        </w:rPr>
        <w:t>de l’emprunt</w:t>
      </w:r>
      <w:r>
        <w:rPr>
          <w:rFonts w:asciiTheme="minorHAnsi" w:eastAsiaTheme="minorHAnsi" w:hAnsiTheme="minorHAnsi" w:cstheme="minorBidi"/>
          <w:kern w:val="2"/>
          <w:lang w:eastAsia="en-US"/>
          <w14:ligatures w14:val="standardContextual"/>
        </w:rPr>
        <w:t xml:space="preserve"> court terme a été libérée </w:t>
      </w:r>
      <w:r w:rsidR="00AD2E5C">
        <w:rPr>
          <w:rFonts w:asciiTheme="minorHAnsi" w:eastAsiaTheme="minorHAnsi" w:hAnsiTheme="minorHAnsi" w:cstheme="minorBidi"/>
          <w:kern w:val="2"/>
          <w:lang w:eastAsia="en-US"/>
          <w14:ligatures w14:val="standardContextual"/>
        </w:rPr>
        <w:t>à hauteur de 40 000 euros qui ne nécessitera que le paiement des intérêts pendant deux ans.</w:t>
      </w:r>
    </w:p>
    <w:p w14:paraId="127071E6" w14:textId="77777777" w:rsidR="00E4479F" w:rsidRDefault="00D2696E" w:rsidP="00582803">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67744E">
        <w:rPr>
          <w:rFonts w:asciiTheme="minorHAnsi" w:eastAsiaTheme="minorHAnsi" w:hAnsiTheme="minorHAnsi" w:cstheme="minorBidi"/>
          <w:noProof/>
          <w:kern w:val="2"/>
          <w:lang w:eastAsia="en-US"/>
          <w14:ligatures w14:val="standardContextual"/>
        </w:rPr>
      </w:r>
      <w:r w:rsidR="00D2696E" w:rsidRPr="0067744E">
        <w:rPr>
          <w:rFonts w:asciiTheme="minorHAnsi" w:eastAsiaTheme="minorHAnsi" w:hAnsiTheme="minorHAnsi" w:cstheme="minorBidi"/>
          <w:noProof/>
          <w:kern w:val="2"/>
          <w:lang w:eastAsia="en-US"/>
          <w14:ligatures w14:val="standardContextual"/>
        </w:rPr>
        <w:object w:dxaOrig="23720" w:dyaOrig="8240" w14:anchorId="32F2BF9B">
          <v:shape id="_x0000_i1032" type="#_x0000_t75" alt="" style="width:454pt;height:158pt;mso-width-percent:0;mso-height-percent:0;mso-width-percent:0;mso-height-percent:0" o:ole="">
            <v:imagedata r:id="rId27" o:title=""/>
          </v:shape>
          <o:OLEObject Type="Embed" ProgID="Excel.Sheet.12" ShapeID="_x0000_i1032" DrawAspect="Content" ObjectID="_1773646089" r:id="rId28"/>
        </w:object>
      </w:r>
      <w:r w:rsidR="00582803" w:rsidRPr="00582803">
        <w:rPr>
          <w:rFonts w:asciiTheme="minorHAnsi" w:eastAsiaTheme="minorHAnsi" w:hAnsiTheme="minorHAnsi" w:cstheme="minorBidi"/>
          <w:kern w:val="2"/>
          <w:lang w:eastAsia="en-US"/>
          <w14:ligatures w14:val="standardContextual"/>
        </w:rPr>
        <w:t xml:space="preserve"> </w:t>
      </w:r>
    </w:p>
    <w:p w14:paraId="4AEBDE30" w14:textId="77777777" w:rsidR="00E4479F" w:rsidRDefault="00E4479F" w:rsidP="00582803">
      <w:pPr>
        <w:pStyle w:val="NormalWeb"/>
        <w:spacing w:before="0" w:beforeAutospacing="0" w:after="0" w:afterAutospacing="0"/>
        <w:rPr>
          <w:rFonts w:asciiTheme="minorHAnsi" w:eastAsiaTheme="minorHAnsi" w:hAnsiTheme="minorHAnsi" w:cstheme="minorBidi"/>
          <w:kern w:val="2"/>
          <w:lang w:eastAsia="en-US"/>
          <w14:ligatures w14:val="standardContextual"/>
        </w:rPr>
      </w:pPr>
    </w:p>
    <w:p w14:paraId="1FC71AE1" w14:textId="7ECE49A3" w:rsidR="00582803" w:rsidRPr="003B1F63" w:rsidRDefault="00582803" w:rsidP="00582803">
      <w:pPr>
        <w:pStyle w:val="NormalWeb"/>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Évolution de l’encours de la dette</w:t>
      </w:r>
    </w:p>
    <w:p w14:paraId="3BEF6357" w14:textId="25BEC39D" w:rsidR="00582803" w:rsidRDefault="00582803" w:rsidP="00582803">
      <w:pPr>
        <w:pStyle w:val="NormalWeb"/>
        <w:rPr>
          <w:rFonts w:asciiTheme="minorHAnsi" w:eastAsiaTheme="minorHAnsi" w:hAnsiTheme="minorHAnsi" w:cstheme="minorBidi"/>
          <w:kern w:val="2"/>
          <w:lang w:eastAsia="en-US"/>
          <w14:ligatures w14:val="standardContextual"/>
        </w:rPr>
      </w:pPr>
      <w:r>
        <w:rPr>
          <w:noProof/>
        </w:rPr>
        <w:drawing>
          <wp:inline distT="0" distB="0" distL="0" distR="0" wp14:anchorId="25614C5B" wp14:editId="299C5B0A">
            <wp:extent cx="6126480" cy="2011680"/>
            <wp:effectExtent l="0" t="0" r="7620" b="7620"/>
            <wp:docPr id="2094602986" name="Graphique 1">
              <a:extLst xmlns:a="http://schemas.openxmlformats.org/drawingml/2006/main">
                <a:ext uri="{FF2B5EF4-FFF2-40B4-BE49-F238E27FC236}">
                  <a16:creationId xmlns:a16="http://schemas.microsoft.com/office/drawing/2014/main" id="{855684B0-E083-42A1-1C9A-F4F18A184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2EBE4D" w14:textId="65B716B7" w:rsidR="00AD2E5C" w:rsidRDefault="00AD2E5C" w:rsidP="00235020">
      <w:pPr>
        <w:pStyle w:val="NormalWeb"/>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CAPACITE DE DESENDETTEMENT</w:t>
      </w:r>
    </w:p>
    <w:p w14:paraId="7E73F786" w14:textId="52D68462" w:rsidR="00AD2E5C" w:rsidRPr="00AD2E5C" w:rsidRDefault="00AD2E5C" w:rsidP="00AD2E5C">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AD2E5C">
        <w:rPr>
          <w:rFonts w:asciiTheme="minorHAnsi" w:eastAsiaTheme="minorHAnsi" w:hAnsiTheme="minorHAnsi" w:cstheme="minorBidi"/>
          <w:kern w:val="2"/>
          <w:lang w:eastAsia="en-US"/>
          <w14:ligatures w14:val="standardContextual"/>
        </w:rPr>
        <w:t xml:space="preserve">Le ratio de désendettement permet de mesurer la capacité de désendettement de la collectivité́. Il détermine le nombre d'années nécessaires à la collectivité́ pour éteindre totalement sa dette par mobilisation et affectation en totalité́ de son épargne brute annuelle. </w:t>
      </w:r>
    </w:p>
    <w:p w14:paraId="41EBCC96" w14:textId="5D455256" w:rsidR="00AD2E5C" w:rsidRPr="00AD2E5C" w:rsidRDefault="00AD2E5C" w:rsidP="00AD2E5C">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AD2E5C">
        <w:rPr>
          <w:rFonts w:asciiTheme="minorHAnsi" w:eastAsiaTheme="minorHAnsi" w:hAnsiTheme="minorHAnsi" w:cstheme="minorBidi"/>
          <w:kern w:val="2"/>
          <w:lang w:eastAsia="en-US"/>
          <w14:ligatures w14:val="standardContextual"/>
        </w:rPr>
        <w:t xml:space="preserve">Il se calcule selon la règle suivante : </w:t>
      </w:r>
    </w:p>
    <w:p w14:paraId="0E14688B" w14:textId="58A9F002" w:rsidR="00AD2E5C" w:rsidRPr="00AD2E5C" w:rsidRDefault="00AD2E5C" w:rsidP="00AD2E5C">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AD2E5C">
        <w:rPr>
          <w:rFonts w:asciiTheme="minorHAnsi" w:eastAsiaTheme="minorHAnsi" w:hAnsiTheme="minorHAnsi" w:cstheme="minorBidi"/>
          <w:kern w:val="2"/>
          <w:lang w:eastAsia="en-US"/>
          <w14:ligatures w14:val="standardContextual"/>
        </w:rPr>
        <w:t xml:space="preserve">Encours de dette au 31 décembre de l'année budgétaire en cours Épargne brute de l'année en cours </w:t>
      </w:r>
    </w:p>
    <w:p w14:paraId="3FFB4C00" w14:textId="4EE940A7" w:rsidR="00AD2E5C" w:rsidRPr="00AD2E5C" w:rsidRDefault="00AD2E5C" w:rsidP="00AD2E5C">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AD2E5C">
        <w:rPr>
          <w:rFonts w:asciiTheme="minorHAnsi" w:eastAsiaTheme="minorHAnsi" w:hAnsiTheme="minorHAnsi" w:cstheme="minorBidi"/>
          <w:kern w:val="2"/>
          <w:lang w:eastAsia="en-US"/>
          <w14:ligatures w14:val="standardContextual"/>
        </w:rPr>
        <w:t xml:space="preserve">La capacité de désendettement pour la collectivité́ évolue comme suit : </w:t>
      </w:r>
    </w:p>
    <w:p w14:paraId="269F7BFC" w14:textId="4CFAA477" w:rsidR="00AD2E5C" w:rsidRDefault="00AD2E5C" w:rsidP="00AD2E5C">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AD2E5C">
        <w:rPr>
          <w:rFonts w:asciiTheme="minorHAnsi" w:eastAsiaTheme="minorHAnsi" w:hAnsiTheme="minorHAnsi" w:cstheme="minorBidi"/>
          <w:kern w:val="2"/>
          <w:lang w:eastAsia="en-US"/>
          <w14:ligatures w14:val="standardContextual"/>
        </w:rPr>
        <w:t xml:space="preserve">Il est généralement admis que le seuil d’alerte s’établit avec un ratio de 10 ans. </w:t>
      </w:r>
    </w:p>
    <w:p w14:paraId="750EDAB5" w14:textId="77777777" w:rsidR="00B16906" w:rsidRPr="00AD2E5C" w:rsidRDefault="00B16906" w:rsidP="00AD2E5C">
      <w:pPr>
        <w:pStyle w:val="NormalWeb"/>
        <w:spacing w:before="0" w:beforeAutospacing="0" w:after="0" w:afterAutospacing="0"/>
        <w:rPr>
          <w:rFonts w:asciiTheme="minorHAnsi" w:eastAsiaTheme="minorHAnsi" w:hAnsiTheme="minorHAnsi" w:cstheme="minorBidi"/>
          <w:kern w:val="2"/>
          <w:lang w:eastAsia="en-US"/>
          <w14:ligatures w14:val="standardContextual"/>
        </w:rPr>
      </w:pPr>
    </w:p>
    <w:p w14:paraId="1C4BD1AE" w14:textId="4C7901A8" w:rsidR="00AD2E5C" w:rsidRDefault="00D2696E" w:rsidP="00235020">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67744E">
        <w:rPr>
          <w:rFonts w:asciiTheme="minorHAnsi" w:eastAsiaTheme="minorHAnsi" w:hAnsiTheme="minorHAnsi" w:cstheme="minorBidi"/>
          <w:noProof/>
          <w:kern w:val="2"/>
          <w:lang w:eastAsia="en-US"/>
          <w14:ligatures w14:val="standardContextual"/>
        </w:rPr>
      </w:r>
      <w:r w:rsidR="00D2696E" w:rsidRPr="0067744E">
        <w:rPr>
          <w:rFonts w:asciiTheme="minorHAnsi" w:eastAsiaTheme="minorHAnsi" w:hAnsiTheme="minorHAnsi" w:cstheme="minorBidi"/>
          <w:noProof/>
          <w:kern w:val="2"/>
          <w:lang w:eastAsia="en-US"/>
          <w14:ligatures w14:val="standardContextual"/>
        </w:rPr>
        <w:object w:dxaOrig="11960" w:dyaOrig="1460" w14:anchorId="594169B7">
          <v:shape id="_x0000_i1033" type="#_x0000_t75" alt="" style="width:513pt;height:62pt;mso-width-percent:0;mso-height-percent:0;mso-width-percent:0;mso-height-percent:0" o:ole="">
            <v:imagedata r:id="rId30" o:title=""/>
          </v:shape>
          <o:OLEObject Type="Embed" ProgID="Excel.Sheet.12" ShapeID="_x0000_i1033" DrawAspect="Content" ObjectID="_1773646090" r:id="rId31"/>
        </w:object>
      </w:r>
    </w:p>
    <w:p w14:paraId="2F483A69" w14:textId="77777777" w:rsidR="00EA5FAD" w:rsidRDefault="00EA5FAD" w:rsidP="00235020">
      <w:pPr>
        <w:pStyle w:val="NormalWeb"/>
        <w:spacing w:before="0" w:beforeAutospacing="0" w:after="0" w:afterAutospacing="0"/>
        <w:rPr>
          <w:rFonts w:asciiTheme="minorHAnsi" w:eastAsiaTheme="minorHAnsi" w:hAnsiTheme="minorHAnsi" w:cstheme="minorBidi"/>
          <w:kern w:val="2"/>
          <w:lang w:eastAsia="en-US"/>
          <w14:ligatures w14:val="standardContextual"/>
        </w:rPr>
      </w:pPr>
    </w:p>
    <w:p w14:paraId="692C37E2" w14:textId="554C3B1D" w:rsidR="00EA5FAD" w:rsidRDefault="00EA5FAD" w:rsidP="00235020">
      <w:pPr>
        <w:pStyle w:val="NormalWeb"/>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 xml:space="preserve">Le ratio inférieur à 4 depuis 2020 affiche un niveau de désendettement </w:t>
      </w:r>
      <w:r w:rsidR="00E10A89">
        <w:rPr>
          <w:rFonts w:asciiTheme="minorHAnsi" w:eastAsiaTheme="minorHAnsi" w:hAnsiTheme="minorHAnsi" w:cstheme="minorBidi"/>
          <w:kern w:val="2"/>
          <w:lang w:eastAsia="en-US"/>
          <w14:ligatures w14:val="standardContextual"/>
        </w:rPr>
        <w:t>satisfaisant</w:t>
      </w:r>
      <w:r>
        <w:rPr>
          <w:rFonts w:asciiTheme="minorHAnsi" w:eastAsiaTheme="minorHAnsi" w:hAnsiTheme="minorHAnsi" w:cstheme="minorBidi"/>
          <w:kern w:val="2"/>
          <w:lang w:eastAsia="en-US"/>
          <w14:ligatures w14:val="standardContextual"/>
        </w:rPr>
        <w:t xml:space="preserve"> </w:t>
      </w:r>
      <w:r w:rsidR="00E10A89">
        <w:rPr>
          <w:rFonts w:asciiTheme="minorHAnsi" w:eastAsiaTheme="minorHAnsi" w:hAnsiTheme="minorHAnsi" w:cstheme="minorBidi"/>
          <w:kern w:val="2"/>
          <w:lang w:eastAsia="en-US"/>
          <w14:ligatures w14:val="standardContextual"/>
        </w:rPr>
        <w:t>permettant à la commune de mobiliser à nouveau de l’emprunt pour assurer le financement des projets d’investissements à venir.</w:t>
      </w:r>
    </w:p>
    <w:p w14:paraId="5BF39EF7" w14:textId="77777777" w:rsidR="00B16906" w:rsidRPr="00E62D7B" w:rsidRDefault="00B16906" w:rsidP="00830D72">
      <w:pPr>
        <w:pStyle w:val="NormalWeb"/>
        <w:spacing w:before="0" w:beforeAutospacing="0" w:after="0" w:afterAutospacing="0"/>
        <w:rPr>
          <w:rFonts w:asciiTheme="minorHAnsi" w:eastAsiaTheme="minorHAnsi" w:hAnsiTheme="minorHAnsi" w:cstheme="minorBidi"/>
          <w:b/>
          <w:bCs/>
          <w:kern w:val="2"/>
          <w:lang w:eastAsia="en-US"/>
          <w14:ligatures w14:val="standardContextual"/>
        </w:rPr>
      </w:pPr>
      <w:r w:rsidRPr="00E62D7B">
        <w:rPr>
          <w:rFonts w:asciiTheme="minorHAnsi" w:eastAsiaTheme="minorHAnsi" w:hAnsiTheme="minorHAnsi" w:cstheme="minorBidi"/>
          <w:b/>
          <w:bCs/>
          <w:kern w:val="2"/>
          <w:lang w:eastAsia="en-US"/>
          <w14:ligatures w14:val="standardContextual"/>
        </w:rPr>
        <w:t xml:space="preserve">Orientations 2024-2027 </w:t>
      </w:r>
    </w:p>
    <w:p w14:paraId="3A30F06F" w14:textId="77777777" w:rsidR="0065165C" w:rsidRDefault="00B16906" w:rsidP="0065165C">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B16906">
        <w:rPr>
          <w:rFonts w:asciiTheme="minorHAnsi" w:eastAsiaTheme="minorHAnsi" w:hAnsiTheme="minorHAnsi" w:cstheme="minorBidi"/>
          <w:kern w:val="2"/>
          <w:lang w:eastAsia="en-US"/>
          <w14:ligatures w14:val="standardContextual"/>
        </w:rPr>
        <w:t xml:space="preserve">Avec la </w:t>
      </w:r>
      <w:r>
        <w:rPr>
          <w:rFonts w:asciiTheme="minorHAnsi" w:eastAsiaTheme="minorHAnsi" w:hAnsiTheme="minorHAnsi" w:cstheme="minorBidi"/>
          <w:kern w:val="2"/>
          <w:lang w:eastAsia="en-US"/>
          <w14:ligatures w14:val="standardContextual"/>
        </w:rPr>
        <w:t>réhabilitation de l’ancien presbytère</w:t>
      </w:r>
      <w:r w:rsidRPr="00B16906">
        <w:rPr>
          <w:rFonts w:asciiTheme="minorHAnsi" w:eastAsiaTheme="minorHAnsi" w:hAnsiTheme="minorHAnsi" w:cstheme="minorBidi"/>
          <w:kern w:val="2"/>
          <w:lang w:eastAsia="en-US"/>
          <w14:ligatures w14:val="standardContextual"/>
        </w:rPr>
        <w:t xml:space="preserve"> et des programmes d’investissement à venir, le recours à </w:t>
      </w:r>
      <w:r w:rsidR="003506C9">
        <w:rPr>
          <w:rFonts w:asciiTheme="minorHAnsi" w:eastAsiaTheme="minorHAnsi" w:hAnsiTheme="minorHAnsi" w:cstheme="minorBidi"/>
          <w:kern w:val="2"/>
          <w:lang w:eastAsia="en-US"/>
          <w14:ligatures w14:val="standardContextual"/>
        </w:rPr>
        <w:t xml:space="preserve">l’emprunt </w:t>
      </w:r>
      <w:r w:rsidRPr="00B16906">
        <w:rPr>
          <w:rFonts w:asciiTheme="minorHAnsi" w:eastAsiaTheme="minorHAnsi" w:hAnsiTheme="minorHAnsi" w:cstheme="minorBidi"/>
          <w:kern w:val="2"/>
          <w:lang w:eastAsia="en-US"/>
          <w14:ligatures w14:val="standardContextual"/>
        </w:rPr>
        <w:t xml:space="preserve">sera une nécessité. </w:t>
      </w:r>
    </w:p>
    <w:p w14:paraId="63F3AEC3" w14:textId="499E1AFD" w:rsidR="00830D72" w:rsidRPr="002B4C98" w:rsidRDefault="00012643" w:rsidP="0065165C">
      <w:pPr>
        <w:pStyle w:val="NormalWeb"/>
        <w:spacing w:before="60" w:beforeAutospacing="0" w:after="0" w:afterAutospacing="0"/>
        <w:rPr>
          <w:rFonts w:asciiTheme="minorHAnsi" w:eastAsiaTheme="minorHAnsi" w:hAnsiTheme="minorHAnsi" w:cstheme="minorBidi"/>
          <w:kern w:val="2"/>
          <w:lang w:eastAsia="en-US"/>
          <w14:ligatures w14:val="standardContextual"/>
        </w:rPr>
      </w:pPr>
      <w:r w:rsidRPr="002B4C98">
        <w:rPr>
          <w:rFonts w:asciiTheme="minorHAnsi" w:eastAsiaTheme="minorHAnsi" w:hAnsiTheme="minorHAnsi" w:cstheme="minorBidi"/>
          <w:b/>
          <w:bCs/>
          <w:kern w:val="2"/>
          <w:lang w:eastAsia="en-US"/>
          <w14:ligatures w14:val="standardContextual"/>
        </w:rPr>
        <w:t>INVESTISSEMENTS</w:t>
      </w:r>
      <w:r w:rsidR="002B4C98">
        <w:rPr>
          <w:rFonts w:asciiTheme="minorHAnsi" w:eastAsiaTheme="minorHAnsi" w:hAnsiTheme="minorHAnsi" w:cstheme="minorBidi"/>
          <w:b/>
          <w:bCs/>
          <w:kern w:val="2"/>
          <w:lang w:eastAsia="en-US"/>
          <w14:ligatures w14:val="standardContextual"/>
        </w:rPr>
        <w:t xml:space="preserve"> 2023 </w:t>
      </w:r>
      <w:r w:rsidR="002B4C98" w:rsidRPr="002B4C98">
        <w:rPr>
          <w:rFonts w:asciiTheme="minorHAnsi" w:eastAsiaTheme="minorHAnsi" w:hAnsiTheme="minorHAnsi" w:cstheme="minorBidi"/>
          <w:kern w:val="2"/>
          <w:lang w:eastAsia="en-US"/>
          <w14:ligatures w14:val="standardContextual"/>
        </w:rPr>
        <w:t>Exécutés et restes à réaliser</w:t>
      </w:r>
    </w:p>
    <w:p w14:paraId="7062D926" w14:textId="5FF3D159" w:rsidR="00830D72" w:rsidRPr="00407482" w:rsidRDefault="004E4D53" w:rsidP="00B03C45">
      <w:pPr>
        <w:pStyle w:val="NormalWeb"/>
        <w:tabs>
          <w:tab w:val="left" w:pos="5387"/>
        </w:tabs>
        <w:spacing w:before="0" w:beforeAutospacing="0" w:after="0" w:afterAutospacing="0"/>
        <w:ind w:left="567"/>
        <w:rPr>
          <w:rFonts w:asciiTheme="minorHAnsi" w:eastAsiaTheme="minorHAnsi" w:hAnsiTheme="minorHAnsi" w:cstheme="minorBidi"/>
          <w:kern w:val="2"/>
          <w:lang w:eastAsia="en-US"/>
          <w14:ligatures w14:val="standardContextual"/>
        </w:rPr>
      </w:pPr>
      <w:r w:rsidRPr="004E4D53">
        <w:rPr>
          <w:rFonts w:asciiTheme="minorHAnsi" w:eastAsiaTheme="minorHAnsi" w:hAnsiTheme="minorHAnsi" w:cstheme="minorBidi"/>
          <w:noProof/>
          <w:kern w:val="2"/>
          <w:lang w:eastAsia="en-US"/>
          <w14:ligatures w14:val="standardContextual"/>
        </w:rPr>
        <w:drawing>
          <wp:inline distT="0" distB="0" distL="0" distR="0" wp14:anchorId="03844D5D" wp14:editId="078B86A2">
            <wp:extent cx="3059289" cy="3509701"/>
            <wp:effectExtent l="0" t="0" r="1905" b="0"/>
            <wp:docPr id="1392141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41861" name=""/>
                    <pic:cNvPicPr/>
                  </pic:nvPicPr>
                  <pic:blipFill>
                    <a:blip r:embed="rId32"/>
                    <a:stretch>
                      <a:fillRect/>
                    </a:stretch>
                  </pic:blipFill>
                  <pic:spPr>
                    <a:xfrm>
                      <a:off x="0" y="0"/>
                      <a:ext cx="3159966" cy="3625201"/>
                    </a:xfrm>
                    <a:prstGeom prst="rect">
                      <a:avLst/>
                    </a:prstGeom>
                  </pic:spPr>
                </pic:pic>
              </a:graphicData>
            </a:graphic>
          </wp:inline>
        </w:drawing>
      </w:r>
      <w:r w:rsidR="00D2696E">
        <w:rPr>
          <w:rFonts w:asciiTheme="minorHAnsi" w:eastAsiaTheme="minorHAnsi" w:hAnsiTheme="minorHAnsi" w:cstheme="minorBidi"/>
          <w:noProof/>
          <w:kern w:val="2"/>
          <w:lang w:eastAsia="en-US"/>
          <w14:ligatures w14:val="standardContextual"/>
        </w:rPr>
      </w:r>
      <w:r w:rsidR="00D2696E">
        <w:rPr>
          <w:rFonts w:asciiTheme="minorHAnsi" w:eastAsiaTheme="minorHAnsi" w:hAnsiTheme="minorHAnsi" w:cstheme="minorBidi"/>
          <w:noProof/>
          <w:kern w:val="2"/>
          <w:lang w:eastAsia="en-US"/>
          <w14:ligatures w14:val="standardContextual"/>
        </w:rPr>
        <w:object w:dxaOrig="14740" w:dyaOrig="18360" w14:anchorId="27B32ACF">
          <v:shape id="_x0000_i1034" type="#_x0000_t75" alt="" style="width:224pt;height:279pt;mso-width-percent:0;mso-height-percent:0;mso-width-percent:0;mso-height-percent:0" o:ole="">
            <v:imagedata r:id="rId33" o:title=""/>
          </v:shape>
          <o:OLEObject Type="Embed" ProgID="Excel.Sheet.12" ShapeID="_x0000_i1034" DrawAspect="Content" ObjectID="_1773646091" r:id="rId34"/>
        </w:object>
      </w:r>
      <w:bookmarkEnd w:id="0"/>
      <w:bookmarkEnd w:id="1"/>
    </w:p>
    <w:sectPr w:rsidR="00830D72" w:rsidRPr="00407482" w:rsidSect="005835AD">
      <w:pgSz w:w="11906" w:h="16838"/>
      <w:pgMar w:top="720" w:right="554"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Corps C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E63F0"/>
    <w:multiLevelType w:val="multilevel"/>
    <w:tmpl w:val="95AA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DE78B6"/>
    <w:multiLevelType w:val="hybridMultilevel"/>
    <w:tmpl w:val="54E8C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9444716">
    <w:abstractNumId w:val="1"/>
  </w:num>
  <w:num w:numId="2" w16cid:durableId="855388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C1B"/>
    <w:rsid w:val="00012643"/>
    <w:rsid w:val="00046815"/>
    <w:rsid w:val="00091F9E"/>
    <w:rsid w:val="000B45FE"/>
    <w:rsid w:val="000C2739"/>
    <w:rsid w:val="000C2B1F"/>
    <w:rsid w:val="000F514E"/>
    <w:rsid w:val="00140495"/>
    <w:rsid w:val="00141ADF"/>
    <w:rsid w:val="001737FF"/>
    <w:rsid w:val="00191815"/>
    <w:rsid w:val="00193639"/>
    <w:rsid w:val="001C095F"/>
    <w:rsid w:val="001E6081"/>
    <w:rsid w:val="00207DD9"/>
    <w:rsid w:val="00212298"/>
    <w:rsid w:val="00235020"/>
    <w:rsid w:val="002652E1"/>
    <w:rsid w:val="0027260F"/>
    <w:rsid w:val="002B4C98"/>
    <w:rsid w:val="002D1EA9"/>
    <w:rsid w:val="002E10B4"/>
    <w:rsid w:val="002E2424"/>
    <w:rsid w:val="002E7ECB"/>
    <w:rsid w:val="002F6C18"/>
    <w:rsid w:val="003065BD"/>
    <w:rsid w:val="003178B8"/>
    <w:rsid w:val="00346E72"/>
    <w:rsid w:val="003506C9"/>
    <w:rsid w:val="0037791A"/>
    <w:rsid w:val="003B1F63"/>
    <w:rsid w:val="003C3AA8"/>
    <w:rsid w:val="003C7006"/>
    <w:rsid w:val="003C7EA6"/>
    <w:rsid w:val="003D162E"/>
    <w:rsid w:val="00407482"/>
    <w:rsid w:val="0041285B"/>
    <w:rsid w:val="00430E20"/>
    <w:rsid w:val="00441076"/>
    <w:rsid w:val="004723EF"/>
    <w:rsid w:val="004864FD"/>
    <w:rsid w:val="004A1C76"/>
    <w:rsid w:val="004C0DDF"/>
    <w:rsid w:val="004E0C3B"/>
    <w:rsid w:val="004E4D53"/>
    <w:rsid w:val="004F1249"/>
    <w:rsid w:val="0051130D"/>
    <w:rsid w:val="00513768"/>
    <w:rsid w:val="00546D2E"/>
    <w:rsid w:val="00582803"/>
    <w:rsid w:val="005835AD"/>
    <w:rsid w:val="005C7AC8"/>
    <w:rsid w:val="005D1353"/>
    <w:rsid w:val="00605326"/>
    <w:rsid w:val="00610CC7"/>
    <w:rsid w:val="00641981"/>
    <w:rsid w:val="0065165C"/>
    <w:rsid w:val="00675FB2"/>
    <w:rsid w:val="0067744E"/>
    <w:rsid w:val="006A5F44"/>
    <w:rsid w:val="006D4CBD"/>
    <w:rsid w:val="006E25D9"/>
    <w:rsid w:val="00713B42"/>
    <w:rsid w:val="00720837"/>
    <w:rsid w:val="00726E71"/>
    <w:rsid w:val="00732D05"/>
    <w:rsid w:val="00737621"/>
    <w:rsid w:val="00752BF6"/>
    <w:rsid w:val="0076271F"/>
    <w:rsid w:val="0079108C"/>
    <w:rsid w:val="007915D9"/>
    <w:rsid w:val="007C3487"/>
    <w:rsid w:val="007D33DF"/>
    <w:rsid w:val="00817C1B"/>
    <w:rsid w:val="00830D72"/>
    <w:rsid w:val="0085419F"/>
    <w:rsid w:val="0087343B"/>
    <w:rsid w:val="0088308D"/>
    <w:rsid w:val="008B403E"/>
    <w:rsid w:val="00903C9F"/>
    <w:rsid w:val="0093763F"/>
    <w:rsid w:val="00940483"/>
    <w:rsid w:val="009432D6"/>
    <w:rsid w:val="009466BA"/>
    <w:rsid w:val="009A11B3"/>
    <w:rsid w:val="009A5335"/>
    <w:rsid w:val="009B25AE"/>
    <w:rsid w:val="009C4122"/>
    <w:rsid w:val="00A379C2"/>
    <w:rsid w:val="00A412C4"/>
    <w:rsid w:val="00A90D72"/>
    <w:rsid w:val="00AA1123"/>
    <w:rsid w:val="00AA79F5"/>
    <w:rsid w:val="00AD2E5C"/>
    <w:rsid w:val="00B03C45"/>
    <w:rsid w:val="00B16906"/>
    <w:rsid w:val="00B36D20"/>
    <w:rsid w:val="00B64C50"/>
    <w:rsid w:val="00BE184B"/>
    <w:rsid w:val="00C137BC"/>
    <w:rsid w:val="00C252A8"/>
    <w:rsid w:val="00C420C8"/>
    <w:rsid w:val="00C7034D"/>
    <w:rsid w:val="00C73258"/>
    <w:rsid w:val="00CA7197"/>
    <w:rsid w:val="00CB5A2A"/>
    <w:rsid w:val="00CC5C66"/>
    <w:rsid w:val="00CF2B68"/>
    <w:rsid w:val="00D06FF1"/>
    <w:rsid w:val="00D2696E"/>
    <w:rsid w:val="00D31B49"/>
    <w:rsid w:val="00D46CC8"/>
    <w:rsid w:val="00D478F6"/>
    <w:rsid w:val="00D61444"/>
    <w:rsid w:val="00D71810"/>
    <w:rsid w:val="00DE2AE6"/>
    <w:rsid w:val="00DE5E10"/>
    <w:rsid w:val="00DF7DC4"/>
    <w:rsid w:val="00E10A89"/>
    <w:rsid w:val="00E14F13"/>
    <w:rsid w:val="00E15437"/>
    <w:rsid w:val="00E158DA"/>
    <w:rsid w:val="00E34430"/>
    <w:rsid w:val="00E366E7"/>
    <w:rsid w:val="00E4479F"/>
    <w:rsid w:val="00E4483F"/>
    <w:rsid w:val="00E62D7B"/>
    <w:rsid w:val="00E7095F"/>
    <w:rsid w:val="00E75663"/>
    <w:rsid w:val="00EA5FAD"/>
    <w:rsid w:val="00EB3CD1"/>
    <w:rsid w:val="00EE2576"/>
    <w:rsid w:val="00EF2E08"/>
    <w:rsid w:val="00F122D0"/>
    <w:rsid w:val="00F55D19"/>
    <w:rsid w:val="00F641C2"/>
    <w:rsid w:val="00F64D79"/>
    <w:rsid w:val="00F81575"/>
    <w:rsid w:val="00FB36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26F63EE"/>
  <w15:chartTrackingRefBased/>
  <w15:docId w15:val="{E4C36197-9AEE-DB47-8C99-C62CF56F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07482"/>
    <w:pPr>
      <w:spacing w:before="100" w:beforeAutospacing="1" w:after="100" w:afterAutospacing="1"/>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31292">
      <w:bodyDiv w:val="1"/>
      <w:marLeft w:val="0"/>
      <w:marRight w:val="0"/>
      <w:marTop w:val="0"/>
      <w:marBottom w:val="0"/>
      <w:divBdr>
        <w:top w:val="none" w:sz="0" w:space="0" w:color="auto"/>
        <w:left w:val="none" w:sz="0" w:space="0" w:color="auto"/>
        <w:bottom w:val="none" w:sz="0" w:space="0" w:color="auto"/>
        <w:right w:val="none" w:sz="0" w:space="0" w:color="auto"/>
      </w:divBdr>
      <w:divsChild>
        <w:div w:id="757671865">
          <w:marLeft w:val="0"/>
          <w:marRight w:val="0"/>
          <w:marTop w:val="0"/>
          <w:marBottom w:val="0"/>
          <w:divBdr>
            <w:top w:val="none" w:sz="0" w:space="0" w:color="auto"/>
            <w:left w:val="none" w:sz="0" w:space="0" w:color="auto"/>
            <w:bottom w:val="none" w:sz="0" w:space="0" w:color="auto"/>
            <w:right w:val="none" w:sz="0" w:space="0" w:color="auto"/>
          </w:divBdr>
          <w:divsChild>
            <w:div w:id="51119662">
              <w:marLeft w:val="0"/>
              <w:marRight w:val="0"/>
              <w:marTop w:val="0"/>
              <w:marBottom w:val="0"/>
              <w:divBdr>
                <w:top w:val="none" w:sz="0" w:space="0" w:color="auto"/>
                <w:left w:val="none" w:sz="0" w:space="0" w:color="auto"/>
                <w:bottom w:val="none" w:sz="0" w:space="0" w:color="auto"/>
                <w:right w:val="none" w:sz="0" w:space="0" w:color="auto"/>
              </w:divBdr>
              <w:divsChild>
                <w:div w:id="10954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5737">
      <w:bodyDiv w:val="1"/>
      <w:marLeft w:val="0"/>
      <w:marRight w:val="0"/>
      <w:marTop w:val="0"/>
      <w:marBottom w:val="0"/>
      <w:divBdr>
        <w:top w:val="none" w:sz="0" w:space="0" w:color="auto"/>
        <w:left w:val="none" w:sz="0" w:space="0" w:color="auto"/>
        <w:bottom w:val="none" w:sz="0" w:space="0" w:color="auto"/>
        <w:right w:val="none" w:sz="0" w:space="0" w:color="auto"/>
      </w:divBdr>
      <w:divsChild>
        <w:div w:id="1841963421">
          <w:marLeft w:val="0"/>
          <w:marRight w:val="0"/>
          <w:marTop w:val="0"/>
          <w:marBottom w:val="0"/>
          <w:divBdr>
            <w:top w:val="none" w:sz="0" w:space="0" w:color="auto"/>
            <w:left w:val="none" w:sz="0" w:space="0" w:color="auto"/>
            <w:bottom w:val="none" w:sz="0" w:space="0" w:color="auto"/>
            <w:right w:val="none" w:sz="0" w:space="0" w:color="auto"/>
          </w:divBdr>
          <w:divsChild>
            <w:div w:id="667441641">
              <w:marLeft w:val="0"/>
              <w:marRight w:val="0"/>
              <w:marTop w:val="0"/>
              <w:marBottom w:val="0"/>
              <w:divBdr>
                <w:top w:val="none" w:sz="0" w:space="0" w:color="auto"/>
                <w:left w:val="none" w:sz="0" w:space="0" w:color="auto"/>
                <w:bottom w:val="none" w:sz="0" w:space="0" w:color="auto"/>
                <w:right w:val="none" w:sz="0" w:space="0" w:color="auto"/>
              </w:divBdr>
              <w:divsChild>
                <w:div w:id="2096779964">
                  <w:marLeft w:val="0"/>
                  <w:marRight w:val="0"/>
                  <w:marTop w:val="0"/>
                  <w:marBottom w:val="0"/>
                  <w:divBdr>
                    <w:top w:val="none" w:sz="0" w:space="0" w:color="auto"/>
                    <w:left w:val="none" w:sz="0" w:space="0" w:color="auto"/>
                    <w:bottom w:val="none" w:sz="0" w:space="0" w:color="auto"/>
                    <w:right w:val="none" w:sz="0" w:space="0" w:color="auto"/>
                  </w:divBdr>
                  <w:divsChild>
                    <w:div w:id="14966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822832">
      <w:bodyDiv w:val="1"/>
      <w:marLeft w:val="0"/>
      <w:marRight w:val="0"/>
      <w:marTop w:val="0"/>
      <w:marBottom w:val="0"/>
      <w:divBdr>
        <w:top w:val="none" w:sz="0" w:space="0" w:color="auto"/>
        <w:left w:val="none" w:sz="0" w:space="0" w:color="auto"/>
        <w:bottom w:val="none" w:sz="0" w:space="0" w:color="auto"/>
        <w:right w:val="none" w:sz="0" w:space="0" w:color="auto"/>
      </w:divBdr>
      <w:divsChild>
        <w:div w:id="1209417156">
          <w:marLeft w:val="0"/>
          <w:marRight w:val="0"/>
          <w:marTop w:val="0"/>
          <w:marBottom w:val="0"/>
          <w:divBdr>
            <w:top w:val="none" w:sz="0" w:space="0" w:color="auto"/>
            <w:left w:val="none" w:sz="0" w:space="0" w:color="auto"/>
            <w:bottom w:val="none" w:sz="0" w:space="0" w:color="auto"/>
            <w:right w:val="none" w:sz="0" w:space="0" w:color="auto"/>
          </w:divBdr>
          <w:divsChild>
            <w:div w:id="2078896021">
              <w:marLeft w:val="0"/>
              <w:marRight w:val="0"/>
              <w:marTop w:val="0"/>
              <w:marBottom w:val="0"/>
              <w:divBdr>
                <w:top w:val="none" w:sz="0" w:space="0" w:color="auto"/>
                <w:left w:val="none" w:sz="0" w:space="0" w:color="auto"/>
                <w:bottom w:val="none" w:sz="0" w:space="0" w:color="auto"/>
                <w:right w:val="none" w:sz="0" w:space="0" w:color="auto"/>
              </w:divBdr>
              <w:divsChild>
                <w:div w:id="940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4372">
      <w:bodyDiv w:val="1"/>
      <w:marLeft w:val="0"/>
      <w:marRight w:val="0"/>
      <w:marTop w:val="0"/>
      <w:marBottom w:val="0"/>
      <w:divBdr>
        <w:top w:val="none" w:sz="0" w:space="0" w:color="auto"/>
        <w:left w:val="none" w:sz="0" w:space="0" w:color="auto"/>
        <w:bottom w:val="none" w:sz="0" w:space="0" w:color="auto"/>
        <w:right w:val="none" w:sz="0" w:space="0" w:color="auto"/>
      </w:divBdr>
      <w:divsChild>
        <w:div w:id="480469620">
          <w:marLeft w:val="0"/>
          <w:marRight w:val="0"/>
          <w:marTop w:val="0"/>
          <w:marBottom w:val="0"/>
          <w:divBdr>
            <w:top w:val="none" w:sz="0" w:space="0" w:color="auto"/>
            <w:left w:val="none" w:sz="0" w:space="0" w:color="auto"/>
            <w:bottom w:val="none" w:sz="0" w:space="0" w:color="auto"/>
            <w:right w:val="none" w:sz="0" w:space="0" w:color="auto"/>
          </w:divBdr>
          <w:divsChild>
            <w:div w:id="38478574">
              <w:marLeft w:val="0"/>
              <w:marRight w:val="0"/>
              <w:marTop w:val="0"/>
              <w:marBottom w:val="0"/>
              <w:divBdr>
                <w:top w:val="none" w:sz="0" w:space="0" w:color="auto"/>
                <w:left w:val="none" w:sz="0" w:space="0" w:color="auto"/>
                <w:bottom w:val="none" w:sz="0" w:space="0" w:color="auto"/>
                <w:right w:val="none" w:sz="0" w:space="0" w:color="auto"/>
              </w:divBdr>
              <w:divsChild>
                <w:div w:id="15447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12899">
      <w:bodyDiv w:val="1"/>
      <w:marLeft w:val="0"/>
      <w:marRight w:val="0"/>
      <w:marTop w:val="0"/>
      <w:marBottom w:val="0"/>
      <w:divBdr>
        <w:top w:val="none" w:sz="0" w:space="0" w:color="auto"/>
        <w:left w:val="none" w:sz="0" w:space="0" w:color="auto"/>
        <w:bottom w:val="none" w:sz="0" w:space="0" w:color="auto"/>
        <w:right w:val="none" w:sz="0" w:space="0" w:color="auto"/>
      </w:divBdr>
      <w:divsChild>
        <w:div w:id="364336181">
          <w:marLeft w:val="0"/>
          <w:marRight w:val="0"/>
          <w:marTop w:val="0"/>
          <w:marBottom w:val="0"/>
          <w:divBdr>
            <w:top w:val="none" w:sz="0" w:space="0" w:color="auto"/>
            <w:left w:val="none" w:sz="0" w:space="0" w:color="auto"/>
            <w:bottom w:val="none" w:sz="0" w:space="0" w:color="auto"/>
            <w:right w:val="none" w:sz="0" w:space="0" w:color="auto"/>
          </w:divBdr>
          <w:divsChild>
            <w:div w:id="1101609892">
              <w:marLeft w:val="0"/>
              <w:marRight w:val="0"/>
              <w:marTop w:val="0"/>
              <w:marBottom w:val="0"/>
              <w:divBdr>
                <w:top w:val="none" w:sz="0" w:space="0" w:color="auto"/>
                <w:left w:val="none" w:sz="0" w:space="0" w:color="auto"/>
                <w:bottom w:val="none" w:sz="0" w:space="0" w:color="auto"/>
                <w:right w:val="none" w:sz="0" w:space="0" w:color="auto"/>
              </w:divBdr>
              <w:divsChild>
                <w:div w:id="506944603">
                  <w:marLeft w:val="0"/>
                  <w:marRight w:val="0"/>
                  <w:marTop w:val="0"/>
                  <w:marBottom w:val="0"/>
                  <w:divBdr>
                    <w:top w:val="none" w:sz="0" w:space="0" w:color="auto"/>
                    <w:left w:val="none" w:sz="0" w:space="0" w:color="auto"/>
                    <w:bottom w:val="none" w:sz="0" w:space="0" w:color="auto"/>
                    <w:right w:val="none" w:sz="0" w:space="0" w:color="auto"/>
                  </w:divBdr>
                  <w:divsChild>
                    <w:div w:id="9995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39415">
      <w:bodyDiv w:val="1"/>
      <w:marLeft w:val="0"/>
      <w:marRight w:val="0"/>
      <w:marTop w:val="0"/>
      <w:marBottom w:val="0"/>
      <w:divBdr>
        <w:top w:val="none" w:sz="0" w:space="0" w:color="auto"/>
        <w:left w:val="none" w:sz="0" w:space="0" w:color="auto"/>
        <w:bottom w:val="none" w:sz="0" w:space="0" w:color="auto"/>
        <w:right w:val="none" w:sz="0" w:space="0" w:color="auto"/>
      </w:divBdr>
      <w:divsChild>
        <w:div w:id="1436484376">
          <w:marLeft w:val="0"/>
          <w:marRight w:val="0"/>
          <w:marTop w:val="0"/>
          <w:marBottom w:val="0"/>
          <w:divBdr>
            <w:top w:val="none" w:sz="0" w:space="0" w:color="auto"/>
            <w:left w:val="none" w:sz="0" w:space="0" w:color="auto"/>
            <w:bottom w:val="none" w:sz="0" w:space="0" w:color="auto"/>
            <w:right w:val="none" w:sz="0" w:space="0" w:color="auto"/>
          </w:divBdr>
          <w:divsChild>
            <w:div w:id="2064015506">
              <w:marLeft w:val="0"/>
              <w:marRight w:val="0"/>
              <w:marTop w:val="0"/>
              <w:marBottom w:val="0"/>
              <w:divBdr>
                <w:top w:val="none" w:sz="0" w:space="0" w:color="auto"/>
                <w:left w:val="none" w:sz="0" w:space="0" w:color="auto"/>
                <w:bottom w:val="none" w:sz="0" w:space="0" w:color="auto"/>
                <w:right w:val="none" w:sz="0" w:space="0" w:color="auto"/>
              </w:divBdr>
              <w:divsChild>
                <w:div w:id="1974752315">
                  <w:marLeft w:val="0"/>
                  <w:marRight w:val="0"/>
                  <w:marTop w:val="0"/>
                  <w:marBottom w:val="0"/>
                  <w:divBdr>
                    <w:top w:val="none" w:sz="0" w:space="0" w:color="auto"/>
                    <w:left w:val="none" w:sz="0" w:space="0" w:color="auto"/>
                    <w:bottom w:val="none" w:sz="0" w:space="0" w:color="auto"/>
                    <w:right w:val="none" w:sz="0" w:space="0" w:color="auto"/>
                  </w:divBdr>
                  <w:divsChild>
                    <w:div w:id="4581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44950">
      <w:bodyDiv w:val="1"/>
      <w:marLeft w:val="0"/>
      <w:marRight w:val="0"/>
      <w:marTop w:val="0"/>
      <w:marBottom w:val="0"/>
      <w:divBdr>
        <w:top w:val="none" w:sz="0" w:space="0" w:color="auto"/>
        <w:left w:val="none" w:sz="0" w:space="0" w:color="auto"/>
        <w:bottom w:val="none" w:sz="0" w:space="0" w:color="auto"/>
        <w:right w:val="none" w:sz="0" w:space="0" w:color="auto"/>
      </w:divBdr>
    </w:div>
    <w:div w:id="1266114105">
      <w:bodyDiv w:val="1"/>
      <w:marLeft w:val="0"/>
      <w:marRight w:val="0"/>
      <w:marTop w:val="0"/>
      <w:marBottom w:val="0"/>
      <w:divBdr>
        <w:top w:val="none" w:sz="0" w:space="0" w:color="auto"/>
        <w:left w:val="none" w:sz="0" w:space="0" w:color="auto"/>
        <w:bottom w:val="none" w:sz="0" w:space="0" w:color="auto"/>
        <w:right w:val="none" w:sz="0" w:space="0" w:color="auto"/>
      </w:divBdr>
      <w:divsChild>
        <w:div w:id="2116976394">
          <w:marLeft w:val="0"/>
          <w:marRight w:val="0"/>
          <w:marTop w:val="0"/>
          <w:marBottom w:val="0"/>
          <w:divBdr>
            <w:top w:val="none" w:sz="0" w:space="0" w:color="auto"/>
            <w:left w:val="none" w:sz="0" w:space="0" w:color="auto"/>
            <w:bottom w:val="none" w:sz="0" w:space="0" w:color="auto"/>
            <w:right w:val="none" w:sz="0" w:space="0" w:color="auto"/>
          </w:divBdr>
          <w:divsChild>
            <w:div w:id="1081223471">
              <w:marLeft w:val="0"/>
              <w:marRight w:val="0"/>
              <w:marTop w:val="0"/>
              <w:marBottom w:val="0"/>
              <w:divBdr>
                <w:top w:val="none" w:sz="0" w:space="0" w:color="auto"/>
                <w:left w:val="none" w:sz="0" w:space="0" w:color="auto"/>
                <w:bottom w:val="none" w:sz="0" w:space="0" w:color="auto"/>
                <w:right w:val="none" w:sz="0" w:space="0" w:color="auto"/>
              </w:divBdr>
              <w:divsChild>
                <w:div w:id="163280893">
                  <w:marLeft w:val="0"/>
                  <w:marRight w:val="0"/>
                  <w:marTop w:val="0"/>
                  <w:marBottom w:val="0"/>
                  <w:divBdr>
                    <w:top w:val="none" w:sz="0" w:space="0" w:color="auto"/>
                    <w:left w:val="none" w:sz="0" w:space="0" w:color="auto"/>
                    <w:bottom w:val="none" w:sz="0" w:space="0" w:color="auto"/>
                    <w:right w:val="none" w:sz="0" w:space="0" w:color="auto"/>
                  </w:divBdr>
                  <w:divsChild>
                    <w:div w:id="1007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194444">
      <w:bodyDiv w:val="1"/>
      <w:marLeft w:val="0"/>
      <w:marRight w:val="0"/>
      <w:marTop w:val="0"/>
      <w:marBottom w:val="0"/>
      <w:divBdr>
        <w:top w:val="none" w:sz="0" w:space="0" w:color="auto"/>
        <w:left w:val="none" w:sz="0" w:space="0" w:color="auto"/>
        <w:bottom w:val="none" w:sz="0" w:space="0" w:color="auto"/>
        <w:right w:val="none" w:sz="0" w:space="0" w:color="auto"/>
      </w:divBdr>
      <w:divsChild>
        <w:div w:id="970594468">
          <w:marLeft w:val="0"/>
          <w:marRight w:val="0"/>
          <w:marTop w:val="0"/>
          <w:marBottom w:val="0"/>
          <w:divBdr>
            <w:top w:val="none" w:sz="0" w:space="0" w:color="auto"/>
            <w:left w:val="none" w:sz="0" w:space="0" w:color="auto"/>
            <w:bottom w:val="none" w:sz="0" w:space="0" w:color="auto"/>
            <w:right w:val="none" w:sz="0" w:space="0" w:color="auto"/>
          </w:divBdr>
          <w:divsChild>
            <w:div w:id="2061712279">
              <w:marLeft w:val="0"/>
              <w:marRight w:val="0"/>
              <w:marTop w:val="0"/>
              <w:marBottom w:val="0"/>
              <w:divBdr>
                <w:top w:val="none" w:sz="0" w:space="0" w:color="auto"/>
                <w:left w:val="none" w:sz="0" w:space="0" w:color="auto"/>
                <w:bottom w:val="none" w:sz="0" w:space="0" w:color="auto"/>
                <w:right w:val="none" w:sz="0" w:space="0" w:color="auto"/>
              </w:divBdr>
              <w:divsChild>
                <w:div w:id="1725061796">
                  <w:marLeft w:val="0"/>
                  <w:marRight w:val="0"/>
                  <w:marTop w:val="0"/>
                  <w:marBottom w:val="0"/>
                  <w:divBdr>
                    <w:top w:val="none" w:sz="0" w:space="0" w:color="auto"/>
                    <w:left w:val="none" w:sz="0" w:space="0" w:color="auto"/>
                    <w:bottom w:val="none" w:sz="0" w:space="0" w:color="auto"/>
                    <w:right w:val="none" w:sz="0" w:space="0" w:color="auto"/>
                  </w:divBdr>
                  <w:divsChild>
                    <w:div w:id="11071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23700">
      <w:bodyDiv w:val="1"/>
      <w:marLeft w:val="0"/>
      <w:marRight w:val="0"/>
      <w:marTop w:val="0"/>
      <w:marBottom w:val="0"/>
      <w:divBdr>
        <w:top w:val="none" w:sz="0" w:space="0" w:color="auto"/>
        <w:left w:val="none" w:sz="0" w:space="0" w:color="auto"/>
        <w:bottom w:val="none" w:sz="0" w:space="0" w:color="auto"/>
        <w:right w:val="none" w:sz="0" w:space="0" w:color="auto"/>
      </w:divBdr>
      <w:divsChild>
        <w:div w:id="1118641740">
          <w:marLeft w:val="0"/>
          <w:marRight w:val="0"/>
          <w:marTop w:val="0"/>
          <w:marBottom w:val="0"/>
          <w:divBdr>
            <w:top w:val="none" w:sz="0" w:space="0" w:color="auto"/>
            <w:left w:val="none" w:sz="0" w:space="0" w:color="auto"/>
            <w:bottom w:val="none" w:sz="0" w:space="0" w:color="auto"/>
            <w:right w:val="none" w:sz="0" w:space="0" w:color="auto"/>
          </w:divBdr>
          <w:divsChild>
            <w:div w:id="1186596569">
              <w:marLeft w:val="0"/>
              <w:marRight w:val="0"/>
              <w:marTop w:val="0"/>
              <w:marBottom w:val="0"/>
              <w:divBdr>
                <w:top w:val="none" w:sz="0" w:space="0" w:color="auto"/>
                <w:left w:val="none" w:sz="0" w:space="0" w:color="auto"/>
                <w:bottom w:val="none" w:sz="0" w:space="0" w:color="auto"/>
                <w:right w:val="none" w:sz="0" w:space="0" w:color="auto"/>
              </w:divBdr>
              <w:divsChild>
                <w:div w:id="15619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47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Feuille_de_calcul_Microsoft_Excel1.xlsx"/><Relationship Id="rId18" Type="http://schemas.openxmlformats.org/officeDocument/2006/relationships/image" Target="media/image7.emf"/><Relationship Id="rId26" Type="http://schemas.openxmlformats.org/officeDocument/2006/relationships/package" Target="embeddings/Feuille_de_calcul_Microsoft_Excel5.xlsx"/><Relationship Id="rId3" Type="http://schemas.openxmlformats.org/officeDocument/2006/relationships/customXml" Target="../customXml/item3.xml"/><Relationship Id="rId21" Type="http://schemas.openxmlformats.org/officeDocument/2006/relationships/package" Target="embeddings/Feuille_de_calcul_Microsoft_Excel3.xlsx"/><Relationship Id="rId34" Type="http://schemas.openxmlformats.org/officeDocument/2006/relationships/package" Target="embeddings/Feuille_de_calcul_Microsoft_Excel8.xlsx"/><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3.emf"/><Relationship Id="rId5" Type="http://schemas.openxmlformats.org/officeDocument/2006/relationships/styles" Target="styles.xml"/><Relationship Id="rId15" Type="http://schemas.openxmlformats.org/officeDocument/2006/relationships/package" Target="embeddings/Feuille_de_calcul_Microsoft_Excel2.xlsx"/><Relationship Id="rId23" Type="http://schemas.openxmlformats.org/officeDocument/2006/relationships/package" Target="embeddings/Feuille_de_calcul_Microsoft_Excel4.xlsx"/><Relationship Id="rId28" Type="http://schemas.openxmlformats.org/officeDocument/2006/relationships/package" Target="embeddings/Feuille_de_calcul_Microsoft_Excel6.xlsx"/><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Feuille_de_calcul_binaire_Microsoft_Excel.xlsb"/><Relationship Id="rId31" Type="http://schemas.openxmlformats.org/officeDocument/2006/relationships/package" Target="embeddings/Feuille_de_calcul_Microsoft_Excel7.xlsx"/><Relationship Id="rId4" Type="http://schemas.openxmlformats.org/officeDocument/2006/relationships/numbering" Target="numbering.xml"/><Relationship Id="rId9" Type="http://schemas.openxmlformats.org/officeDocument/2006/relationships/package" Target="embeddings/Feuille_de_calcul_Microsoft_Excel.xls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2.emf"/><Relationship Id="rId35" Type="http://schemas.openxmlformats.org/officeDocument/2006/relationships/fontTable" Target="fontTable.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Users\imacpatrick\Library\CloudStorage\Dropbox\Marcillac%20finances\Budget%202024\Budget%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macpatrick\Library\CloudStorage\Dropbox\Marcillac%20finances\Budget%202024\Budget%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macpatrick\Library\CloudStorage\Dropbox\Marcillac%20finances\Budget%202024\Budget%20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Frais de personnel</a:t>
            </a:r>
          </a:p>
          <a:p>
            <a:pPr>
              <a:defRPr/>
            </a:pPr>
            <a:r>
              <a:rPr lang="fr-FR"/>
              <a:t>déduction faite des atténuations de charges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'Analyse 2023'!$B$80</c:f>
              <c:strCache>
                <c:ptCount val="1"/>
                <c:pt idx="0">
                  <c:v>Charges de personnel nettes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'Analyse 2023'!$C$79:$F$79</c:f>
              <c:numCache>
                <c:formatCode>General</c:formatCode>
                <c:ptCount val="4"/>
                <c:pt idx="0">
                  <c:v>2020</c:v>
                </c:pt>
                <c:pt idx="1">
                  <c:v>2021</c:v>
                </c:pt>
                <c:pt idx="2">
                  <c:v>2022</c:v>
                </c:pt>
                <c:pt idx="3">
                  <c:v>2023</c:v>
                </c:pt>
              </c:numCache>
            </c:numRef>
          </c:cat>
          <c:val>
            <c:numRef>
              <c:f>'Analyse 2023'!$C$80:$F$80</c:f>
              <c:numCache>
                <c:formatCode>#,##0.00_);\(#,##0.00\)</c:formatCode>
                <c:ptCount val="4"/>
                <c:pt idx="0">
                  <c:v>589370.54999999993</c:v>
                </c:pt>
                <c:pt idx="1">
                  <c:v>542589.64</c:v>
                </c:pt>
                <c:pt idx="2">
                  <c:v>589370.54999999993</c:v>
                </c:pt>
                <c:pt idx="3">
                  <c:v>609625.6100000001</c:v>
                </c:pt>
              </c:numCache>
            </c:numRef>
          </c:val>
          <c:extLst>
            <c:ext xmlns:c16="http://schemas.microsoft.com/office/drawing/2014/chart" uri="{C3380CC4-5D6E-409C-BE32-E72D297353CC}">
              <c16:uniqueId val="{00000000-8175-DF49-AACB-D4D02496C772}"/>
            </c:ext>
          </c:extLst>
        </c:ser>
        <c:dLbls>
          <c:showLegendKey val="0"/>
          <c:showVal val="0"/>
          <c:showCatName val="0"/>
          <c:showSerName val="0"/>
          <c:showPercent val="0"/>
          <c:showBubbleSize val="0"/>
        </c:dLbls>
        <c:gapWidth val="150"/>
        <c:axId val="716393120"/>
        <c:axId val="716395392"/>
      </c:barChart>
      <c:lineChart>
        <c:grouping val="standard"/>
        <c:varyColors val="0"/>
        <c:ser>
          <c:idx val="1"/>
          <c:order val="1"/>
          <c:tx>
            <c:strRef>
              <c:f>'Analyse 2023'!$B$81</c:f>
              <c:strCache>
                <c:ptCount val="1"/>
                <c:pt idx="0">
                  <c:v>Attenuation de charges</c:v>
                </c:pt>
              </c:strCache>
            </c:strRef>
          </c:tx>
          <c:spPr>
            <a:ln w="28575" cap="rnd">
              <a:solidFill>
                <a:schemeClr val="accent2"/>
              </a:solidFill>
              <a:round/>
            </a:ln>
            <a:effectLst/>
          </c:spPr>
          <c:marker>
            <c:symbol val="none"/>
          </c:marker>
          <c:cat>
            <c:numRef>
              <c:f>'Analyse 2023'!$C$79:$F$79</c:f>
              <c:numCache>
                <c:formatCode>General</c:formatCode>
                <c:ptCount val="4"/>
                <c:pt idx="0">
                  <c:v>2020</c:v>
                </c:pt>
                <c:pt idx="1">
                  <c:v>2021</c:v>
                </c:pt>
                <c:pt idx="2">
                  <c:v>2022</c:v>
                </c:pt>
                <c:pt idx="3">
                  <c:v>2023</c:v>
                </c:pt>
              </c:numCache>
            </c:numRef>
          </c:cat>
          <c:val>
            <c:numRef>
              <c:f>'Analyse 2023'!$C$81:$F$81</c:f>
              <c:numCache>
                <c:formatCode>#,##0.00_);\(#,##0.00\)</c:formatCode>
                <c:ptCount val="4"/>
                <c:pt idx="0">
                  <c:v>6716.53</c:v>
                </c:pt>
                <c:pt idx="1">
                  <c:v>19838.97</c:v>
                </c:pt>
                <c:pt idx="2" formatCode="General">
                  <c:v>6716.53</c:v>
                </c:pt>
                <c:pt idx="3" formatCode="General">
                  <c:v>7827.28</c:v>
                </c:pt>
              </c:numCache>
            </c:numRef>
          </c:val>
          <c:smooth val="0"/>
          <c:extLst>
            <c:ext xmlns:c16="http://schemas.microsoft.com/office/drawing/2014/chart" uri="{C3380CC4-5D6E-409C-BE32-E72D297353CC}">
              <c16:uniqueId val="{00000001-8175-DF49-AACB-D4D02496C772}"/>
            </c:ext>
          </c:extLst>
        </c:ser>
        <c:dLbls>
          <c:showLegendKey val="0"/>
          <c:showVal val="0"/>
          <c:showCatName val="0"/>
          <c:showSerName val="0"/>
          <c:showPercent val="0"/>
          <c:showBubbleSize val="0"/>
        </c:dLbls>
        <c:marker val="1"/>
        <c:smooth val="0"/>
        <c:axId val="1095399743"/>
        <c:axId val="1015053120"/>
      </c:lineChart>
      <c:catAx>
        <c:axId val="71639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6395392"/>
        <c:crosses val="autoZero"/>
        <c:auto val="1"/>
        <c:lblAlgn val="ctr"/>
        <c:lblOffset val="100"/>
        <c:noMultiLvlLbl val="0"/>
      </c:catAx>
      <c:valAx>
        <c:axId val="71639539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fr-FR"/>
          </a:p>
        </c:txPr>
        <c:crossAx val="716393120"/>
        <c:crosses val="autoZero"/>
        <c:crossBetween val="between"/>
      </c:valAx>
      <c:valAx>
        <c:axId val="1015053120"/>
        <c:scaling>
          <c:orientation val="minMax"/>
        </c:scaling>
        <c:delete val="0"/>
        <c:axPos val="r"/>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fr-FR"/>
          </a:p>
        </c:txPr>
        <c:crossAx val="1095399743"/>
        <c:crosses val="max"/>
        <c:crossBetween val="between"/>
      </c:valAx>
      <c:catAx>
        <c:axId val="1095399743"/>
        <c:scaling>
          <c:orientation val="minMax"/>
        </c:scaling>
        <c:delete val="1"/>
        <c:axPos val="b"/>
        <c:numFmt formatCode="General" sourceLinked="1"/>
        <c:majorTickMark val="none"/>
        <c:minorTickMark val="none"/>
        <c:tickLblPos val="nextTo"/>
        <c:crossAx val="1015053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dépargne brute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'Analyse 2023'!$B$37</c:f>
              <c:strCache>
                <c:ptCount val="1"/>
                <c:pt idx="0">
                  <c:v>Taux d'épargne brute</c:v>
                </c:pt>
              </c:strCache>
            </c:strRef>
          </c:tx>
          <c:spPr>
            <a:ln w="28575" cap="rnd">
              <a:solidFill>
                <a:schemeClr val="accent1"/>
              </a:solidFill>
              <a:round/>
            </a:ln>
            <a:effectLst/>
          </c:spPr>
          <c:marker>
            <c:symbol val="none"/>
          </c:marker>
          <c:cat>
            <c:numRef>
              <c:f>'Analyse 2023'!$C$36:$F$36</c:f>
              <c:numCache>
                <c:formatCode>General</c:formatCode>
                <c:ptCount val="4"/>
                <c:pt idx="0">
                  <c:v>2020</c:v>
                </c:pt>
                <c:pt idx="1">
                  <c:v>2021</c:v>
                </c:pt>
                <c:pt idx="2">
                  <c:v>2022</c:v>
                </c:pt>
                <c:pt idx="3">
                  <c:v>2023</c:v>
                </c:pt>
              </c:numCache>
            </c:numRef>
          </c:cat>
          <c:val>
            <c:numRef>
              <c:f>'Analyse 2023'!$C$37:$F$37</c:f>
              <c:numCache>
                <c:formatCode>0.00%</c:formatCode>
                <c:ptCount val="4"/>
                <c:pt idx="0">
                  <c:v>0.14723342355528415</c:v>
                </c:pt>
                <c:pt idx="1">
                  <c:v>9.7310152799316652E-2</c:v>
                </c:pt>
                <c:pt idx="2">
                  <c:v>9.3083575998215928E-2</c:v>
                </c:pt>
                <c:pt idx="3">
                  <c:v>0.16580735656129572</c:v>
                </c:pt>
              </c:numCache>
            </c:numRef>
          </c:val>
          <c:smooth val="0"/>
          <c:extLst>
            <c:ext xmlns:c16="http://schemas.microsoft.com/office/drawing/2014/chart" uri="{C3380CC4-5D6E-409C-BE32-E72D297353CC}">
              <c16:uniqueId val="{00000000-E115-E648-B05E-2389EE1DCC59}"/>
            </c:ext>
          </c:extLst>
        </c:ser>
        <c:ser>
          <c:idx val="1"/>
          <c:order val="1"/>
          <c:tx>
            <c:strRef>
              <c:f>'Analyse 2023'!$B$38</c:f>
              <c:strCache>
                <c:ptCount val="1"/>
                <c:pt idx="0">
                  <c:v>Situation dégradée</c:v>
                </c:pt>
              </c:strCache>
            </c:strRef>
          </c:tx>
          <c:spPr>
            <a:ln w="28575" cap="rnd">
              <a:solidFill>
                <a:schemeClr val="accent2"/>
              </a:solidFill>
              <a:round/>
            </a:ln>
            <a:effectLst/>
          </c:spPr>
          <c:marker>
            <c:symbol val="none"/>
          </c:marker>
          <c:cat>
            <c:numRef>
              <c:f>'Analyse 2023'!$C$36:$F$36</c:f>
              <c:numCache>
                <c:formatCode>General</c:formatCode>
                <c:ptCount val="4"/>
                <c:pt idx="0">
                  <c:v>2020</c:v>
                </c:pt>
                <c:pt idx="1">
                  <c:v>2021</c:v>
                </c:pt>
                <c:pt idx="2">
                  <c:v>2022</c:v>
                </c:pt>
                <c:pt idx="3">
                  <c:v>2023</c:v>
                </c:pt>
              </c:numCache>
            </c:numRef>
          </c:cat>
          <c:val>
            <c:numRef>
              <c:f>'Analyse 2023'!$C$38:$F$38</c:f>
              <c:numCache>
                <c:formatCode>0%</c:formatCode>
                <c:ptCount val="4"/>
                <c:pt idx="0">
                  <c:v>0.1</c:v>
                </c:pt>
                <c:pt idx="1">
                  <c:v>0.1</c:v>
                </c:pt>
                <c:pt idx="2">
                  <c:v>0.1</c:v>
                </c:pt>
                <c:pt idx="3">
                  <c:v>0.1</c:v>
                </c:pt>
              </c:numCache>
            </c:numRef>
          </c:val>
          <c:smooth val="0"/>
          <c:extLst>
            <c:ext xmlns:c16="http://schemas.microsoft.com/office/drawing/2014/chart" uri="{C3380CC4-5D6E-409C-BE32-E72D297353CC}">
              <c16:uniqueId val="{00000001-E115-E648-B05E-2389EE1DCC59}"/>
            </c:ext>
          </c:extLst>
        </c:ser>
        <c:ser>
          <c:idx val="2"/>
          <c:order val="2"/>
          <c:tx>
            <c:strRef>
              <c:f>'Analyse 2023'!$B$39</c:f>
              <c:strCache>
                <c:ptCount val="1"/>
                <c:pt idx="0">
                  <c:v>Seuil d'alerte</c:v>
                </c:pt>
              </c:strCache>
            </c:strRef>
          </c:tx>
          <c:spPr>
            <a:ln w="28575" cap="rnd">
              <a:solidFill>
                <a:schemeClr val="accent3"/>
              </a:solidFill>
              <a:round/>
            </a:ln>
            <a:effectLst/>
          </c:spPr>
          <c:marker>
            <c:symbol val="none"/>
          </c:marker>
          <c:cat>
            <c:numRef>
              <c:f>'Analyse 2023'!$C$36:$F$36</c:f>
              <c:numCache>
                <c:formatCode>General</c:formatCode>
                <c:ptCount val="4"/>
                <c:pt idx="0">
                  <c:v>2020</c:v>
                </c:pt>
                <c:pt idx="1">
                  <c:v>2021</c:v>
                </c:pt>
                <c:pt idx="2">
                  <c:v>2022</c:v>
                </c:pt>
                <c:pt idx="3">
                  <c:v>2023</c:v>
                </c:pt>
              </c:numCache>
            </c:numRef>
          </c:cat>
          <c:val>
            <c:numRef>
              <c:f>'Analyse 2023'!$C$39:$F$39</c:f>
              <c:numCache>
                <c:formatCode>0%</c:formatCode>
                <c:ptCount val="4"/>
                <c:pt idx="0">
                  <c:v>7.0000000000000007E-2</c:v>
                </c:pt>
                <c:pt idx="1">
                  <c:v>7.0000000000000007E-2</c:v>
                </c:pt>
                <c:pt idx="2">
                  <c:v>7.0000000000000007E-2</c:v>
                </c:pt>
                <c:pt idx="3">
                  <c:v>7.0000000000000007E-2</c:v>
                </c:pt>
              </c:numCache>
            </c:numRef>
          </c:val>
          <c:smooth val="0"/>
          <c:extLst>
            <c:ext xmlns:c16="http://schemas.microsoft.com/office/drawing/2014/chart" uri="{C3380CC4-5D6E-409C-BE32-E72D297353CC}">
              <c16:uniqueId val="{00000002-E115-E648-B05E-2389EE1DCC59}"/>
            </c:ext>
          </c:extLst>
        </c:ser>
        <c:dLbls>
          <c:showLegendKey val="0"/>
          <c:showVal val="0"/>
          <c:showCatName val="0"/>
          <c:showSerName val="0"/>
          <c:showPercent val="0"/>
          <c:showBubbleSize val="0"/>
        </c:dLbls>
        <c:smooth val="0"/>
        <c:axId val="596179680"/>
        <c:axId val="596181680"/>
      </c:lineChart>
      <c:catAx>
        <c:axId val="5961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6181680"/>
        <c:crosses val="autoZero"/>
        <c:auto val="1"/>
        <c:lblAlgn val="ctr"/>
        <c:lblOffset val="100"/>
        <c:noMultiLvlLbl val="0"/>
      </c:catAx>
      <c:valAx>
        <c:axId val="596181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6179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En cours de la dette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'Etat de la dette'!$O$33</c:f>
              <c:strCache>
                <c:ptCount val="1"/>
                <c:pt idx="0">
                  <c:v>Encours dette</c:v>
                </c:pt>
              </c:strCache>
            </c:strRef>
          </c:tx>
          <c:spPr>
            <a:solidFill>
              <a:schemeClr val="accent6">
                <a:lumMod val="60000"/>
                <a:lumOff val="40000"/>
              </a:schemeClr>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'Etat de la dette'!$N$34:$N$39</c:f>
              <c:numCache>
                <c:formatCode>General</c:formatCode>
                <c:ptCount val="6"/>
                <c:pt idx="0">
                  <c:v>2018</c:v>
                </c:pt>
                <c:pt idx="1">
                  <c:v>2019</c:v>
                </c:pt>
                <c:pt idx="2">
                  <c:v>2020</c:v>
                </c:pt>
                <c:pt idx="3">
                  <c:v>2021</c:v>
                </c:pt>
                <c:pt idx="4">
                  <c:v>2022</c:v>
                </c:pt>
                <c:pt idx="5">
                  <c:v>2023</c:v>
                </c:pt>
              </c:numCache>
            </c:numRef>
          </c:cat>
          <c:val>
            <c:numRef>
              <c:f>'Etat de la dette'!$O$34:$O$39</c:f>
              <c:numCache>
                <c:formatCode>#,##0</c:formatCode>
                <c:ptCount val="6"/>
                <c:pt idx="0">
                  <c:v>832513.49</c:v>
                </c:pt>
                <c:pt idx="1">
                  <c:v>822710.77</c:v>
                </c:pt>
                <c:pt idx="2">
                  <c:v>696504</c:v>
                </c:pt>
                <c:pt idx="3">
                  <c:v>590163.13</c:v>
                </c:pt>
                <c:pt idx="4">
                  <c:v>504764.09</c:v>
                </c:pt>
                <c:pt idx="5">
                  <c:v>456931.55000000005</c:v>
                </c:pt>
              </c:numCache>
            </c:numRef>
          </c:val>
          <c:extLst>
            <c:ext xmlns:c16="http://schemas.microsoft.com/office/drawing/2014/chart" uri="{C3380CC4-5D6E-409C-BE32-E72D297353CC}">
              <c16:uniqueId val="{00000000-7D1B-EF4E-86C4-89A0BD346E6A}"/>
            </c:ext>
          </c:extLst>
        </c:ser>
        <c:dLbls>
          <c:showLegendKey val="0"/>
          <c:showVal val="0"/>
          <c:showCatName val="0"/>
          <c:showSerName val="0"/>
          <c:showPercent val="0"/>
          <c:showBubbleSize val="0"/>
        </c:dLbls>
        <c:gapWidth val="21"/>
        <c:overlap val="41"/>
        <c:axId val="1512248384"/>
        <c:axId val="1512250112"/>
      </c:barChart>
      <c:lineChart>
        <c:grouping val="standard"/>
        <c:varyColors val="0"/>
        <c:ser>
          <c:idx val="1"/>
          <c:order val="1"/>
          <c:tx>
            <c:strRef>
              <c:f>'Etat de la dette'!$P$33</c:f>
              <c:strCache>
                <c:ptCount val="1"/>
                <c:pt idx="0">
                  <c:v>Euros / Habitant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'Etat de la dette'!$N$34:$N$39</c:f>
              <c:numCache>
                <c:formatCode>General</c:formatCode>
                <c:ptCount val="6"/>
                <c:pt idx="0">
                  <c:v>2018</c:v>
                </c:pt>
                <c:pt idx="1">
                  <c:v>2019</c:v>
                </c:pt>
                <c:pt idx="2">
                  <c:v>2020</c:v>
                </c:pt>
                <c:pt idx="3">
                  <c:v>2021</c:v>
                </c:pt>
                <c:pt idx="4">
                  <c:v>2022</c:v>
                </c:pt>
                <c:pt idx="5">
                  <c:v>2023</c:v>
                </c:pt>
              </c:numCache>
            </c:numRef>
          </c:cat>
          <c:val>
            <c:numRef>
              <c:f>'Etat de la dette'!$P$34:$P$39</c:f>
              <c:numCache>
                <c:formatCode>#,##0,</c:formatCode>
                <c:ptCount val="6"/>
                <c:pt idx="0">
                  <c:v>481221.67052023119</c:v>
                </c:pt>
                <c:pt idx="1">
                  <c:v>475555.35838150291</c:v>
                </c:pt>
                <c:pt idx="2">
                  <c:v>402603.46820809244</c:v>
                </c:pt>
                <c:pt idx="3">
                  <c:v>341134.75722543354</c:v>
                </c:pt>
                <c:pt idx="4">
                  <c:v>291771.1502890173</c:v>
                </c:pt>
                <c:pt idx="5">
                  <c:v>264122.28323699423</c:v>
                </c:pt>
              </c:numCache>
            </c:numRef>
          </c:val>
          <c:smooth val="0"/>
          <c:extLst>
            <c:ext xmlns:c16="http://schemas.microsoft.com/office/drawing/2014/chart" uri="{C3380CC4-5D6E-409C-BE32-E72D297353CC}">
              <c16:uniqueId val="{00000001-7D1B-EF4E-86C4-89A0BD346E6A}"/>
            </c:ext>
          </c:extLst>
        </c:ser>
        <c:dLbls>
          <c:showLegendKey val="0"/>
          <c:showVal val="0"/>
          <c:showCatName val="0"/>
          <c:showSerName val="0"/>
          <c:showPercent val="0"/>
          <c:showBubbleSize val="0"/>
        </c:dLbls>
        <c:marker val="1"/>
        <c:smooth val="0"/>
        <c:axId val="1515352096"/>
        <c:axId val="1395543647"/>
      </c:lineChart>
      <c:catAx>
        <c:axId val="15122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2250112"/>
        <c:crosses val="autoZero"/>
        <c:auto val="1"/>
        <c:lblAlgn val="ctr"/>
        <c:lblOffset val="100"/>
        <c:noMultiLvlLbl val="0"/>
      </c:catAx>
      <c:valAx>
        <c:axId val="1512250112"/>
        <c:scaling>
          <c:orientation val="minMax"/>
          <c:min val="3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2248384"/>
        <c:crosses val="autoZero"/>
        <c:crossBetween val="between"/>
      </c:valAx>
      <c:valAx>
        <c:axId val="1395543647"/>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5352096"/>
        <c:crosses val="max"/>
        <c:crossBetween val="between"/>
      </c:valAx>
      <c:catAx>
        <c:axId val="1515352096"/>
        <c:scaling>
          <c:orientation val="minMax"/>
        </c:scaling>
        <c:delete val="1"/>
        <c:axPos val="b"/>
        <c:numFmt formatCode="General" sourceLinked="1"/>
        <c:majorTickMark val="none"/>
        <c:minorTickMark val="none"/>
        <c:tickLblPos val="nextTo"/>
        <c:crossAx val="13955436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A772071BFA5844BE1BA7CECC861DAA" ma:contentTypeVersion="15" ma:contentTypeDescription="Crée un document." ma:contentTypeScope="" ma:versionID="be392626cc6a6268772d476b76601862">
  <xsd:schema xmlns:xsd="http://www.w3.org/2001/XMLSchema" xmlns:xs="http://www.w3.org/2001/XMLSchema" xmlns:p="http://schemas.microsoft.com/office/2006/metadata/properties" xmlns:ns2="5359087e-32c2-475b-9840-0f6cd3bc8527" xmlns:ns3="d61fc99e-1011-447f-86dc-e5d753270238" targetNamespace="http://schemas.microsoft.com/office/2006/metadata/properties" ma:root="true" ma:fieldsID="1571fd9a0c37a05f59c907c0407ec3c3" ns2:_="" ns3:_="">
    <xsd:import namespace="5359087e-32c2-475b-9840-0f6cd3bc8527"/>
    <xsd:import namespace="d61fc99e-1011-447f-86dc-e5d75327023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9087e-32c2-475b-9840-0f6cd3bc852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587edc39-6aa5-4aa1-8b7c-c0994f55a6f9}" ma:internalName="TaxCatchAll" ma:showField="CatchAllData" ma:web="5359087e-32c2-475b-9840-0f6cd3bc85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1fc99e-1011-447f-86dc-e5d75327023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58e3fbf-26aa-4ba3-ab54-f7b6e5a437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1fc99e-1011-447f-86dc-e5d753270238">
      <Terms xmlns="http://schemas.microsoft.com/office/infopath/2007/PartnerControls"/>
    </lcf76f155ced4ddcb4097134ff3c332f>
    <TaxCatchAll xmlns="5359087e-32c2-475b-9840-0f6cd3bc85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41271-3A05-42D9-B38A-955F2EB9E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9087e-32c2-475b-9840-0f6cd3bc8527"/>
    <ds:schemaRef ds:uri="d61fc99e-1011-447f-86dc-e5d753270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BA181-351F-440B-BC02-5DC3CC95D789}">
  <ds:schemaRefs>
    <ds:schemaRef ds:uri="http://schemas.microsoft.com/office/2006/metadata/properties"/>
    <ds:schemaRef ds:uri="http://schemas.microsoft.com/office/infopath/2007/PartnerControls"/>
    <ds:schemaRef ds:uri="d61fc99e-1011-447f-86dc-e5d753270238"/>
    <ds:schemaRef ds:uri="5359087e-32c2-475b-9840-0f6cd3bc8527"/>
  </ds:schemaRefs>
</ds:datastoreItem>
</file>

<file path=customXml/itemProps3.xml><?xml version="1.0" encoding="utf-8"?>
<ds:datastoreItem xmlns:ds="http://schemas.openxmlformats.org/officeDocument/2006/customXml" ds:itemID="{3BD733AD-4D6B-4026-BF9E-25A7588272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7</Pages>
  <Words>1532</Words>
  <Characters>8427</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Patrick LEGER</cp:lastModifiedBy>
  <cp:revision>75</cp:revision>
  <dcterms:created xsi:type="dcterms:W3CDTF">2024-02-05T20:45:00Z</dcterms:created>
  <dcterms:modified xsi:type="dcterms:W3CDTF">2024-04-03T08:41:00Z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0x010100F7A772071BFA5844BE1BA7CECC861DAA</vt:lpwstr>
  </property>
  <property fmtid="{D5CDD505-2E9C-101B-9397-08002B2CF9AE}" pid="3" name="Order">
    <vt:r8>13000</vt:r8>
  </property>
  <property fmtid="{D5CDD505-2E9C-101B-9397-08002B2CF9AE}" pid="4" name="MediaServiceImageTags">
    <vt:lpwstr/>
  </property>
</Properties>
</file>